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BB.2012.117 vom 5. Oktober 2012</w:t>
      </w:r>
    </w:p>
    <w:p>
      <w:r>
        <w:t>Bundesstrafgericht, 2012-10-05, DE</w:t>
      </w:r>
    </w:p>
    <w:p>
      <w:r>
        <w:rPr>
          <w:b/>
        </w:rPr>
        <w:t xml:space="preserve">Quelle: </w:t>
      </w:r>
      <w:r>
        <w:t>https://mcp.opencaselaw.ch/entscheid/bstger_BB.2012.117</w:t>
      </w:r>
    </w:p>
    <w:p>
      <w:r>
        <w:t>FR: TPF BB.2012.117 du 5 octobre 2012</w:t>
      </w:r>
    </w:p>
    <w:p>
      <w:r>
        <w:t>IT: TPF BB.2012.117 del 5 ottobre 2012</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Die Be- schwerde stellt gemäss Art. 393 Abs. 2 StPO ein umfassendes ordentliches Rechtsmittel dar. Mit ihr können alle Mängel des angefochtenen Entschei- des geltend gemacht werden. Die Beschwerdekammer verfügt demnach über eine volle Kognition (vgl. hierzu u. a. den Beschluss des Bundesstraf- gerichts BB.2011.5 vom 18. März 2011, E. 1.1 m.w.H.).</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grundsätzlich nur insoweit zur Be- schwerde legitimiert, als sie sich im Sinne der Art. 118 f. StPO als Pri- vatklägerschaft konstituiert hat (vgl. hierzu GRÄDEL/HEINIGER, Basler Kom- mentar, Basel 2011, Art. 322 StPO N. 6; LANDSHUT, Kommentar zur Schweizerischen Strafprozessordnung [StPO], Zürich/Basel/Genf 2010, Art. 322 StPO N. 9; Beschluss des Bundesstrafgerichts BB.2011.5 vom 18. März 2011, E. 1.1).</w:t>
      </w:r>
    </w:p>
    <w:p>
      <w:r>
        <w:rPr>
          <w:b/>
        </w:rPr>
        <w:t>E. 1.3</w:t>
      </w:r>
    </w:p>
    <w:p>
      <w:r>
        <w:t>Gemäss Art. 115 Abs. 1 StPO gilt als geschädigte Person diejenige Per- son, die durch die Straftat in ihren Rechten unmittelbar verletzt worden ist. Bei den Rechten im Sinne dieser Bestimmung handelt es sich primär um individuelle Rechtsgüter wie Leib und Leben, Vermögen, Ehre etc. (vgl. hierzu die Botschaft vom 21. Dezember 2005 zur Vereinheitlichung des Strafprozessrechts, BBl 2006 S. 1169 f.). Unmittelbar verletzt und so- mit geschädigte Person ist nach herrschender Auffassung der Träger des durch die verletzte Strafnorm (mit)geschützten Rechtsguts, derjenige also, der unter den Schutzbereich der verletzten Strafnorm fällt (vgl. hierzu das Urteil des Bundesgerichts 1B_82/2012 vom 2. April 2012, E. 2.3.2). Dieses gesetzliche Erfordernis will grundsätzlich drei Kategorien von Personen vom Geschädigtenkreis ausschliessen: diejenigen, die ein blosses Interes- se am Ausgang des Strafverfahrens haben oder sonst an der Sache inte- ressiert sind, die Rechtsnachfolger der geschädigten Person sowie sonsti-</w:t>
      </w:r>
    </w:p>
    <w:p>
      <w:r>
        <w:t>- 4 -</w:t>
      </w:r>
    </w:p>
    <w:p>
      <w:r>
        <w:t>ge Dritte, deren Rechte durch die Straftat nur reflexartig verletzt werden (MAZZUCHELLI/POSTIZZI, Basler Kommentar, Basel 2011, Art. 115 StPO N. 21 m.w.H.; siehe auch LIEBER, Kommentar zur Schweizerischen Straf- prozessordnung [StPO], Zürich/Basel/Genf 2010, Art. 115 StPO N. 1; GUI- DON, Die Beschwerde gemäss Schweizerischer Strafprozessordnung, Ber- ner Diss., Zürich/St. Gallen 2011, N. 279; Urteil des Bundesgerichts 1B_201/2011 vom 9. Juni 2011, E. 2.1; Beschluss des Bundesstrafgerichts BB.2010.105 vom 31. Januar 2011, E. 2.1).</w:t>
      </w:r>
    </w:p>
    <w:p>
      <w:r>
        <w:rPr>
          <w:b/>
        </w:rPr>
        <w:t>E. 1.4</w:t>
      </w:r>
    </w:p>
    <w:p>
      <w:r>
        <w:t>Art. 271 StGB ist ein Straftatbestand des dreizehnten Titels des Strafge- setzbuches ("Verbrechen und Vergehen gegen den Staats und die Landes- verteidigung") und dient damit einzig dem Schutz der schweizerischen Ge- bietshoheit und der Wahrung der Unabhängigkeit der Schweiz (statt vieler: THOMAS HOPF, Basler Kommentar, Strafrecht II, Basel 2007, N. 5 zu Art. 271 StGB). Träger des durch Art. 271 StGB geschützten Rechtsgutes ist ausschliesslich der Staat. Der Einzelne kann daher im Falle einer Ver- letzung der betreffenden Strafnorm allenfalls mittelbar betroffen sein, eine unmittelbare Betroffenheit ist ihm von vornherein abzusprechen (Urteil des Bundesgerichts 8G.125/2003 vom 9. Dezember 2003, E. 1.3; Beschluss des Bundesstrafgerichts BB.2006.129 vom 31. Januar 2007, E. 3.3). Wird jedoch eine Person durch eine Straftat nur mittelbar betroffen, gilt sie nicht als geschädigt im Sinne von Art. 115 Abs. 1 StPO, und es entfällt ihr die Möglichkeit, sich als Privatklägerin im Strafverfahren zu konstituieren und Parteistellung zu erlangen.</w:t>
      </w:r>
    </w:p>
    <w:p>
      <w:r>
        <w:t>Aus dem Gesagten folgt, dass der Beschwerdeführer höchstens geltend machen kann, er sei mittelbar durch die Straftat der verbotenen Handlun- gen für einen fremden Staat im Sinne von Art. 271 StGB verletzt. Er könnte somit auch in einem entsprechenden, gegen B. eröffneten Strafverfahren nicht als Geschädigter auftreten und daher auch keine Parteistellung erlan- gen.</w:t>
      </w:r>
    </w:p>
    <w:p>
      <w:r>
        <w:rPr>
          <w:b/>
        </w:rPr>
        <w:t>E. 2</w:t>
      </w:r>
    </w:p>
    <w:p>
      <w:r>
        <w:t>Auf die Beschwerde ist damit mangels Legitimation nicht einzutreten.</w:t>
      </w:r>
    </w:p>
    <w:p>
      <w:r>
        <w:rPr>
          <w:b/>
        </w:rPr>
        <w:t>E. 3</w:t>
      </w:r>
    </w:p>
    <w:p>
      <w:r>
        <w:t>Bei diesem Ausgang des Verfahrens hat der Beschwerdeführer die Kosten zu tragen (Art. 428 Abs. 1 StPO). Die Gerichtsgebühr wird auf Fr. 500.-- festgesetzt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