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BB.2012.103 vom 4. Dezember 2012</w:t>
      </w:r>
    </w:p>
    <w:p>
      <w:r>
        <w:t>Bundesstrafgericht, 2012-12-04, IT</w:t>
      </w:r>
    </w:p>
    <w:p>
      <w:r>
        <w:rPr>
          <w:b/>
        </w:rPr>
        <w:t xml:space="preserve">Quelle: </w:t>
      </w:r>
      <w:r>
        <w:t>https://mcp.opencaselaw.ch/entscheid/bstger_BB.2012.103</w:t>
      </w:r>
    </w:p>
    <w:p>
      <w:r>
        <w:t>FR: TPF BB.2012.103 du 4 décembre 2012</w:t>
      </w:r>
    </w:p>
    <w:p>
      <w:r>
        <w:t>IT: TPF BB.2012.103 del 4 dicembre 2012</w:t>
      </w:r>
    </w:p>
    <w:p>
      <w:pPr>
        <w:pStyle w:val="Heading2"/>
      </w:pPr>
      <w:r>
        <w:t>Regeste</w:t>
      </w:r>
    </w:p>
    <w:p>
      <w:r>
        <w:t>Atti procedurali del Ministero pubblico della Confederazione (art. 20 cpv. 1 lett. b in relazione con l'art. 393 cpv. 1 lett. a CPP)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Il Tribunale penale federale, analogamente al Tribunale federale, esamina d'ufficio e con piena cognizione l'ammissibilità dei ricorsi che gli sono sottopo- sti senza essere vincolato, in tale ambito, dagli argomenti delle parti o dalle loro conclusioni (v. DTF 132 I 140 consid. 1.1; 131 I 153 consid. 1; 131 II 571 consid. 1).</w:t>
      </w:r>
    </w:p>
    <w:p>
      <w:r>
        <w:rPr>
          <w:b/>
        </w:rPr>
        <w:t>E. 1.2</w:t>
      </w:r>
    </w:p>
    <w:p>
      <w:r>
        <w:t>Giusta gli art. 393 cpv. 1 lett. a CPP, 37 cpv. 1 LOAP e 19 cpv. 1 del Regola- mento del 31 agosto 2010 sull'organizzazione del Tribunale penale federale (ROTPF; RS 173.713.161), le decisioni e gli atti procedurali della polizia, del pubblico ministero e delle autorità penali delle contravvenzioni possono esse- re impugnati con reclamo dinanzi alla Corte dei reclami penali del Tribunale penale federale. Il diritto di reclamo spetta alle parti che hanno un interesse giuridicamente protetto all'annullamento o alla modifica della decisione (art. 382 CPP). I reclami contro decisioni comunicate per scritto od oralmente devono essere presentati motivati per scritto entro dieci giorni pres- so la giurisdizione di reclamo (art. 396 cpv. 1 CPP). Il reclamo, introdotto il 7 luglio 2012 contro il contenuto di un verbale di interrogatorio datato 28 giugno 2012, è tempestivo. La legittimazione ricorsuale del reclamante è per contro difettosa: egli non ha infatti alcun interesse giuridicamente protetto all'annul- lamento della decisione impugnata visto che il gravame verte unicamente sul- la (presunta) lesione della personalità e della sfera privata del difensore, e che la sola posizione di imputato nel procedimento penale non gli garantisce au- tomaticamente un interesse qualificato a ricorrere ai sensi dell'art. 382 CPP (v. sentenza del Tribunale federale 1B_94/2012 del 2 aprile 2012, consid. 2.2). Quanto al difensore, si constata che il reclamo non è stato introdotto (anche) a suo nome, e non è quindi ricevibile in ordine.</w:t>
      </w:r>
    </w:p>
    <w:p>
      <w:r>
        <w:rPr>
          <w:b/>
        </w:rPr>
        <w:t>E. 2</w:t>
      </w:r>
    </w:p>
    <w:p>
      <w:r>
        <w:t>Visto quanto precede, il reclamo è inammissibile. Conformemente all'art. 428 cpv. 1 CPP, le spese processuali sono a carico della parte soc- combente; in concreto, viene posta a carico del reclamante una tassa di giu-</w:t>
      </w:r>
    </w:p>
    <w:p>
      <w:r>
        <w:t>- 4 -</w:t>
      </w:r>
    </w:p>
    <w:p>
      <w:r>
        <w:t>stizia di fr. 1'500.--, calcolata giusta gli art. 5 e 8 cpv. 1 del Regolamento del Tribunale penale federale del 31 agosto 2010 sulle spese, gli emolumenti, le ripetibili e le indennità della procedura penale federale (RSPPF; RS 173.713.162).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