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BB.2011.95 vom 11. Januar 2012</w:t>
      </w:r>
    </w:p>
    <w:p>
      <w:r>
        <w:t>Bundesstrafgericht, 2012-01-11, FR</w:t>
      </w:r>
    </w:p>
    <w:p>
      <w:r>
        <w:rPr>
          <w:b/>
        </w:rPr>
        <w:t xml:space="preserve">Quelle: </w:t>
      </w:r>
      <w:r>
        <w:t>https://mcp.opencaselaw.ch/entscheid/bstger_BB.2011.95</w:t>
      </w:r>
    </w:p>
    <w:p>
      <w:r>
        <w:t>FR: TPF BB.2011.95 du 11 janvier 2012</w:t>
      </w:r>
    </w:p>
    <w:p>
      <w:r>
        <w:t>IT: TPF BB.2011.95 del 11 gennaio 2012</w:t>
      </w:r>
    </w:p>
    <w:p>
      <w:pPr>
        <w:pStyle w:val="Heading2"/>
      </w:pPr>
      <w:r>
        <w:t>Regeste</w:t>
      </w:r>
    </w:p>
    <w:p>
      <w:r>
        <w:t>Séquestre (art. 263 ss CPP). Dépôt (art. 265 al. 3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In casu, un même recourant s’en prend à deux décisions portant sur le même objet, soit le même séquestre. Par économie de procédure, il se jus- tifie dès lors de joindre les causes et de les traiter dans une seule et unique décision (art. 30 CPP).</w:t>
      </w:r>
    </w:p>
    <w:p>
      <w:r>
        <w:rPr>
          <w:b/>
        </w:rPr>
        <w:t>E. 1.3</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w:t>
      </w:r>
    </w:p>
    <w:p>
      <w:r>
        <w:t>- 6 -</w:t>
      </w:r>
    </w:p>
    <w:p>
      <w:r>
        <w:t>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Il sied de relever que l’ordonnance du 16 septembre 2011 dont le recourant a requis l’annulation par actes du 26 septembre et 6 octobre 2011 porte l’intitulé « Renseignements bancaires, obligation de dépôt et blocage de compte » et ordonne, outre le blocage d’avoirs, la production de la docu- mentation bancaire relative aux comptes susmentionnés. Selon la jurispru- dence constante rendue sous l’égide de la PPF et confirmée depuis l’entrée en vigueur du CPP, le recours n’est pas ouvert à l’encontre d’un ordre de production en raison de l’absence de préjudice causé au déten- teur et/ou propriétaire des documents concernés par une telle mesure (ar- rêt du Tribunal pénal fédéral BB.2011.15 du 18 mars 2011, consid. 1.3 et références citées). Cela étant, il ressort de la formulation des conclusions énoncées par le recourant que ce dernier conteste uniquement le séques- tre des avoirs et non pas l’ordre de production de documents contenu dans ladite ordonnance. Partant, les recours ne présentent aucun vice à cet égard.</w:t>
      </w:r>
    </w:p>
    <w:p>
      <w:r>
        <w:t>Au surplus, déposés par le titulaire des comptes objets du séquestre atta- qué et dans le délai de dix jours dès la notification des décisions entrepri- ses, les recours sont recevables.</w:t>
      </w:r>
    </w:p>
    <w:p>
      <w:r>
        <w:rPr>
          <w:b/>
        </w:rPr>
        <w:t>E. 2</w:t>
      </w:r>
    </w:p>
    <w:p>
      <w:r>
        <w:t>Le recourant conteste le bien-fondé de la mesure de contrainte prononcée par le MPC.</w:t>
      </w:r>
    </w:p>
    <w:p>
      <w:r>
        <w:rPr>
          <w:b/>
        </w:rPr>
        <w:t>E. 2.1</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 SON/THIRIET, Commentaire bâlois, Schweizerische Strafprozessordnung, no 15 ad art. 393; KELLER, Kommentar zur Schweizerischen Strafprozes- sordnung [StPO], [DONATSCH/HANSJAKOB/LIEBER, éd.; ci-après: Kommen- tar], no 39 ad art. 393; SCHMID, Handbuch des schweizerischen Strafpro- zessrechts, Zurich/Saint-Gall 2009, no 1512).</w:t>
      </w:r>
    </w:p>
    <w:p>
      <w:r>
        <w:t>- 7 -</w:t>
      </w:r>
    </w:p>
    <w:p>
      <w:r>
        <w:rPr>
          <w:b/>
        </w:rPr>
        <w:t>E. 2.2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2.3</w:t>
      </w:r>
    </w:p>
    <w:p>
      <w:r>
        <w:t>Le MPC motive son ordonnance de séquestre (ainsi que son ordonnance de réouverture d’instruction) par la survenance, depuis son ordonnance de non-entrée en matière du 1er juin 2011, d’un fait nouveau soit la demande de levée partielle à hauteur d’EUR 3'000'000 formulée par le recourant par devant le SECO (BB.2011.95, act. 1.2 pièce n° 1 et act. 7 p. 3; BB.2011.106, act. 6 p. 3). Le MPC indique en outre que la mesure de sé- questre attaquée est une mesure conservatoire ne préjugeant en rien le fond et relève au demeurant que, lors de la requête initiale de transfert adressée à l’attention de la banque B., le recourant n’avait pas indiqué que celui-ci devait s’effectuer pour un montant de EUR 3'000'000 et en vue du paiement du prix d’achat d’un bien immobilier. Ces informations auraient été fournies uniquement plus tard, à savoir respectivement les 6 mai et 25 juillet 2011 (BB.2011.95, act. 7 p. 3 s.; BB.2011.106, act. 6 p. 3 s.). En outre, le MPC précise que, suite à la levée du séquestre autorisée par le SECO, le recourant n’a pas requis le transfert en EUR, comme sollicité au- paravant, mais a demandé à la banque B. que le virement soit effectué en francs suisses. Cette requête apparaît singulière aux yeux du MPC tant au</w:t>
      </w:r>
    </w:p>
    <w:p>
      <w:r>
        <w:t>- 8 -</w:t>
      </w:r>
    </w:p>
    <w:p>
      <w:r>
        <w:t>vu du fait que le vendeur et le bien immobilier concernés se trouvent en Sy- rie qu’en considération de ce que le contrat de vente ne contient aucune indication quant à l’utilisation de la devise helvétique (BB.2011.95, act. 7 p. 4; BB.2011.106, act. 6 p. 4). Le recourant aurait au surplus failli à fournir, tant à la banque qu’au MPC, les pièces justificatives nécessaires à l’établissement de l’origine licite des avoirs séquestrés (BB.2011.95, act. 1.2 pièce n° 1 et act. 7 p. 3; BB.2011.106, act. 6 p. 3). Le MPC affirme enfin vouloir obtenir la documentation relative au bien immobilier concerné (BB.2011.95, act. 7 p. 4; BB.2011.106, act. 6 p. 4).</w:t>
      </w:r>
    </w:p>
    <w:p>
      <w:r>
        <w:rPr>
          <w:b/>
        </w:rPr>
        <w:t>E. 2.4</w:t>
      </w:r>
    </w:p>
    <w:p>
      <w:r>
        <w:t>Pour sa part, le recourant soutient que la mesure de contrainte querellée reposerait sur une constatation erronée des faits pertinents, le MPC ayant considéré que le premier ordre de virement adressé à la banque le 27 avril 2011 constituerait une transaction distincte du contrat de vente immobilière du 15 avril 2011 et que les avoirs présents sur les comptes bloqués pour- raient avoir une provenance criminelle, ce malgré le fait que tant la banque B. que le MPC lui-même auraient auparavant jugé que l’activité déployée sur lesdits comptes ne suscitait pas de doutes quant à la licéité de l’origine des fonds (BB.2011.95, act. 1 p. 15 s.; BB.2011.106, act. 1 p. 16 s.). Le re- courant se plaint en outre d’une violation de la garantie de la propriété, pré- vue à l’art. 26 Cst., et allègue que les conditions de l’art. 263 CPP ne se- raient pas réalisées au vu de l’absence de soupçons quant à l’existence d’une infraction préalable au blanchiment d’argent (BB.2011.95, act. 1 p. 16; BB.2011.106, act. 1 p. 17). Le séquestre ordonné par le MPC serait au demeurant disproportionné et ne répondrait à aucun intérêt public. La mesure entreprise consacrerait au surplus une violation du principe de l’interdiction de l’arbitraire (art. 9 Cst.), la décision de séquestre étant en contradiction avec l’ordonnance de non-entrée en matière du 1er juin 2011 ainsi qu’avec la décision du SECO du 14 septembre 2011 (BB.2011.95, act. 1 p. 17; BB.2011.106, act. 1 p. 18). Le recourant argumente également qu’il ne subsisterait en l’occurrence aucun fait nouveau permettant au MPC de rouvrir l’instruction au sens de l’art. 323 CPP (BB.2011.95, act. 12 p. 12 ss; BB.2011.106, act. 11 p. 12 ss).</w:t>
      </w:r>
    </w:p>
    <w:p>
      <w:r>
        <w:rPr>
          <w:b/>
        </w:rPr>
        <w:t>E. 3.1</w:t>
      </w:r>
    </w:p>
    <w:p>
      <w:r>
        <w:t>Il sied de préciser, à titre liminaire, que tout développement formulé par le recourant quant à l’absence d’un fait nouveau permettant de justifier la ré- ouverture de l’instruction au sens de l’art. 323 CPP est en l’occurrence irre- levant. En effet, il ressort des conclusions formulées par le recourant tant dans ses actes de recours que dans ses répliques que ce dernier n’attaque pas l’ordonnance de réouverture du 16 septembre 2011 mais uniquement</w:t>
      </w:r>
    </w:p>
    <w:p>
      <w:r>
        <w:t>- 9 -</w:t>
      </w:r>
    </w:p>
    <w:p>
      <w:r>
        <w:t>l’ordonnance de séquestre du même jour ainsi que la décision de refus de levée du séquestre du 26 septembre 2011. Dès lors, tout argument tiré de l’illégalité ou de l’inopportunité de la réouverture est en l’espèce inopérant.</w:t>
      </w:r>
    </w:p>
    <w:p>
      <w:r>
        <w:rPr>
          <w:b/>
        </w:rPr>
        <w:t>E. 3.2</w:t>
      </w:r>
    </w:p>
    <w:p>
      <w:r>
        <w:t>Comme il a été rappelé supra, la condition de base à une mesure de sé- questre consiste dans l’existence d’indices suffisants permettant de sus- pecter que les valeurs patrimoniales ont servi à commettre une infraction ou en sont le produit. Or, en l’espèce, l’instruction ouverte par le Ministère public de la Confédération à l’encontre du recourant porte sur le chef de blanchiment d’argent (art. 305bis CP). Aux termes de l’art. 305bis al. 1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 En d’autres termes, l’infraction de blanchiment d’argent n’est présumée, a fortiori réalisée, que lorsque deux conditions cumulatives sont réunies, à savoir, d’une part, l’existence d’un acte d’entrave, et, d’autre part, celle d’un crime commis au préalable ayant permis de générer les valeurs patrimonia- les en question. Il apparaît que la dénonciation au MROS ainsi que l’instruction ouverte par le MPC reposent sur des articles de presse, parus depuis le mois d’avril 2011, mettant en doute la licéité du mode d’acquisition de la fortune de la famille de A. et C. (BB.2011.95, act. 7 p. 2; BB.2011.106, act. 6 p. 2). Dans sa réponse, le MPC produit trois extraits provenant d’Internet et parmi les- quels l’on retrouve un document, concernant le recourant, tiré de Wikipedia (BB.2011.95, act. 7.3; BB.2011.106, act. 6.3). A cet égard, il sied de souli- gner que, au vu de son absence de force probante – faute d’indication de l’auteur et vu la possibilité offerte à tout un chacun de modifier à loisir le contenu des articles de Wikipedia –, ce dernier écrit ne sera aucunement pris en considération dans l’examen effectué par la Cours de céans. Ceci étant précisé, il convient de relever que les documents soumis par le MPC indiquent en substance que le recourant serait une personne proche du frère cadet de l’actuel président syrien et qu’il aurait influencé la décision du chef de l’Etat de refuser toute réforme dans le système politique syrien. Au surplus, les autres informations au dossier, recueillies dans la presse par la banque B. et à l’origine du blocage interne effectué par celle-ci ainsi que de la dénonciation au MROS opérée par ledit établissement, relèvent les rapports étroits existant entre la famille de A. et C. et la famille Al-Assad (BB.2011.95, act. 1.2 pièce n° 12). Ces mêmes extraits se réfèrent en outre abondamment à C., frère du recourant, en mettant en exergue que ce der- nier serait impliqué dans un vaste système de corruption. En ce qui concerne le recourant, malgré un bref passage quant à l’utilisation de</w:t>
      </w:r>
    </w:p>
    <w:p>
      <w:r>
        <w:t>- 10 -</w:t>
      </w:r>
    </w:p>
    <w:p>
      <w:r>
        <w:t>l’influence dont il bénéficie grâce à son poste au sein des services de ren- seignements syriens, aucun acte pouvant correspondre à un éventuel crime préalable au blanchiment d’argent en Suisse ne lui est imputé dans l’ensemble des articles de presse présents au dossier. Par ailleurs, dans sa communication du 24 mai 2011, le MROS a indiqué au MPC que les re- cherches effectuées dans ses bases de données n’avaient pas permis d’apporter de plus amples informations que celles décrites par la banque (BB.2011.95, act. 7.1; BB.2011.106, act. 6.1). C’est dès lors en vain que l’on recherche dans la procédure un quelconque indice pouvant suggérer l’existence d’un crime préalable dont le recourant serait présumé coupable et dont l’existence serait susceptible de justifier un séquestre pénal. Du reste, le fait que le recourant serait impliqué dans la répression des mani- festants syriens, comme indiqué dans l’Annexe 2 de l’Ordonnance, ne mo- difie en rien cette constatation; en effet et en tout état de cause, une pa- reille infraction, si réalisée, n’est pas de nature à engendrer des valeurs pa- trimoniales pouvant faire l’objet d’actes de blanchiment en Suisse. Aucune hypothèse quant à la réalisation présumée d’autres chefs de prévention n’a au demeurant été formulée. L’on peine par ailleurs à comprendre comment une demande de déblocage adressée par le recourant au SECO et la levée partielle subséquente puissent avoir amené le MPC à modifier son appré- ciation initiale quant à la subsistance d’indices suffisants justifiant le sé- questre des avoirs et a fortiori la réouverture de l’instruction (il convient de rappeler que le MPC avait dans un premier temps indiqué que les éléments constitutifs de l’infraction décrite à l’art. 305bis CP n’étaient manifestement pas réunis; BB.2011.95, act. 7.2; BB.2011.106, act. 6.2). En effet, les in- formations factuelles liées à l’existence d’un crime préalable sont restées inchangées depuis l’ordonnance de non-entrée en matière du 1er juin 2011. On relèvera que les articles de presse dont le MPC se prévaut à ce jour sont chronologiquement antérieurs au prononcé de cette dernière ordon- nance et que les articles recueillis par la banque et motivant la dénoncia- tion au MROS étaient déjà connus du MPC à cette date. Enfin, les éven- tuels soupçons soulevés par la communication tardive, selon le MPC, de l’existence d’un contrat de vente ainsi que par la requête de changement de devise formulée après la levée du blocage par le SECO ne sauraient pallier à l’absence d’indices suffisants quant à l’existence d’un crime pré- alable.</w:t>
      </w:r>
    </w:p>
    <w:p>
      <w:r>
        <w:rPr>
          <w:b/>
        </w:rPr>
        <w:t>E. 3.3</w:t>
      </w:r>
    </w:p>
    <w:p>
      <w:r>
        <w:t>En considération de ce qui précède, il y a lieu de constater que la condition de base au prononcé du séquestre, soit l’existence d’indices suffisants permettant de suspecter que les valeurs patrimoniales ont servi à commet- tre une infraction ou en sont le produit, fait en l’occurrence défaut. L’ordonnance de séquestre du 16 septembre 2011 ainsi que la décision de refus de levée de celui-ci du 26 septembre 2011 ne sont partant pas justi-</w:t>
      </w:r>
    </w:p>
    <w:p>
      <w:r>
        <w:t>- 11 -</w:t>
      </w:r>
    </w:p>
    <w:p>
      <w:r>
        <w:t>fiées. Les recours apparaissent dès lors bien fondés. Au vu du sort réservé à ceux-ci, il ne sied pas d’examiner les autres griefs soulevés par le recou- rant.</w:t>
      </w:r>
    </w:p>
    <w:p>
      <w:r>
        <w:rPr>
          <w:b/>
        </w:rPr>
        <w:t>E. 3.4</w:t>
      </w:r>
    </w:p>
    <w:p>
      <w:r>
        <w:t>En ce qui a trait aux conclusions subséquentes formulées par le recourant par lesquelles ce dernier sollicite de la Cour de céans que celle-ci ordonne au MPC de communiquer à la banque la levée du séquestre et qu’elle in- vite ledit établissement à se conformer à la décision du SECO du 14 sep- tembre 2011, il y a lieu de relever que celles-ci dépassent le cadre du pré- sent recours et les compétences de la Cour de céans. Elles sont ainsi irre- cevables.</w:t>
      </w:r>
    </w:p>
    <w:p>
      <w:r>
        <w:rPr>
          <w:b/>
        </w:rPr>
        <w:t>E. 4.1</w:t>
      </w:r>
    </w:p>
    <w:p>
      <w:r>
        <w:t>Compte tenu de l’issue du recours, la présente décision est rendue sans frais (art. 428 al. 1 CPP en lien avec l’art. 66 al. 4 LTF).</w:t>
      </w:r>
    </w:p>
    <w:p>
      <w:r>
        <w:rPr>
          <w:b/>
        </w:rPr>
        <w:t>E. 4.2</w:t>
      </w:r>
    </w:p>
    <w:p>
      <w:r>
        <w:t>La partie qui obtient gain de cause a droit à une indemnité pour les dépen- 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effectivement consacré à la cause et nécessaire à la défense de la partie représentée. Au vu du travail fourni par le défenseur du recourant, une indemnité d’un mon- tant de Fr. 1’800.-- (TVA incluse) paraît équitable. Quant aux avances de frais acquittées par le recourant d’un total de Fr. 3'000.--, elles lui seront in- tégralement restituées.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