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BB.2011.83 vom 13. Dezember 2011</w:t>
      </w:r>
    </w:p>
    <w:p>
      <w:r>
        <w:t>Bundesstrafgericht, 2011-12-13, DE</w:t>
      </w:r>
    </w:p>
    <w:p>
      <w:r>
        <w:rPr>
          <w:b/>
        </w:rPr>
        <w:t xml:space="preserve">Quelle: </w:t>
      </w:r>
      <w:r>
        <w:t>https://mcp.opencaselaw.ch/entscheid/bstger_BB.2011.83</w:t>
      </w:r>
    </w:p>
    <w:p>
      <w:r>
        <w:t>FR: TPF BB.2011.83 du 13 décembre 2011</w:t>
      </w:r>
    </w:p>
    <w:p>
      <w:r>
        <w:t>IT: TPF BB.2011.83 del 13 dicembre 2011</w:t>
      </w:r>
    </w:p>
    <w:p>
      <w:pPr>
        <w:pStyle w:val="Heading2"/>
      </w:pPr>
      <w:r>
        <w:t>Regeste</w:t>
      </w:r>
    </w:p>
    <w:p>
      <w:r>
        <w:t>Einstellung des Verf.ahrens (Art. 322 Abs. 2 StPO).</w:t>
      </w:r>
    </w:p>
    <w:p>
      <w:pPr>
        <w:pStyle w:val="Heading2"/>
      </w:pPr>
      <w:r>
        <w:t>Erwägungen</w:t>
      </w:r>
    </w:p>
    <w:p>
      <w:r>
        <w:rPr>
          <w:b/>
        </w:rPr>
        <w:t>E. 19</w:t>
      </w:r>
    </w:p>
    <w:p>
      <w:r>
        <w:t>Dezember 2010 getroffen worden seien, sich daraus keine Rückschlüs- se auf die Ursache des Unfalls ziehen liessen (act. 1.15).</w:t>
      </w:r>
    </w:p>
    <w:p>
      <w:r>
        <w:t>2.2.3 Unbestritten ist, dass es sich beim Luftraum um den Flughafen Y. um eine Fluginformationszone handelt, d.h. gemäss Art. 1 der Verordnung des U- VEK über die Verkehrsregeln für Luftfahrzeuge vom 4. Mai 1981 (VVR; SR 748.121.11) um einen definierten Luftraum rund um einen Flugplatz, in welchem ein Fluginformations- und Alarmdienst durch einen Fluginformati- onsdienst angeboten wird, und nicht um eine Kontrollzone, d.h. um einen kontrollierten Luftraum. Dies hat zur Folge, dass es im Luftraum rund um den Flugplatz Y. keine Flugverkehrsleitung gibt und somit auch keine Start- und Landeerlaubnis erteilt wird. Diesem Umstand wird mit dem jeweils er-</w:t>
      </w:r>
    </w:p>
    <w:p>
      <w:r>
        <w:t>- 6 -</w:t>
      </w:r>
    </w:p>
    <w:p>
      <w:r>
        <w:t>teilten Hinweis „land at own discretion“ Rechnung getragen. Selbstver- ständlich entbindet dies die Betreiber des Flughafens Y. nicht, alles zu un- ternehmen, damit dem Flughafen höchste Sicherheit zukommt. Vorliegend fehlen jedoch Anhaltspunkte für mögliche vorsätzliche oder fahrlässige Ver- fehlungen seitens des Flughafens Y. So gelingt es dem Beschwerdeführer auch selbst nicht, darzulegen, inwiefern sich die Personen auf dem Flugha- fen Y. oder die Betreiber falsch verhalten und gegen bestehende Regeln verstossen hätten.</w:t>
      </w:r>
    </w:p>
    <w:p>
      <w:r>
        <w:t>2.2.4 Soweit der Beschwerdeführer vorbringt, es wäre abzuklären gewesen, ob die verunfallten Piloten durch ihren Arbeitgeber unter Druck gesetzt worden seien, weswegen sie die Landung auch bei schlechtem Wetter vorgenom- men hätten, gilt es festzuhalten, dass es für Ermittlungen in dieser Richtung eines Anfangsverdachts bedarf. Ein solcher liegt nicht vor und wurde auch vom Beschwerdeführer sodann in keiner Weise vorgebracht. Alleine die entfernte Möglichkeit reicht für die Anhandnahme von derartigen Ermittlun- gen nicht aus.</w:t>
      </w:r>
    </w:p>
    <w:p>
      <w:r>
        <w:t>2.2.5 Bis anhin konnte der CVR trotz intensiver Suche seitens der Bundesanwalt- schaft, bzw. der Staatsanwaltschaft des Kantons Graubünden noch nicht aufgefunden werden (vgl. act. 1.12). Es trifft zu, dass dieser für die Ermitt- lung der tatsächlichen Unfallursache von grosser Bedeutung ist, doch kann das Strafverfahren nicht bis zu dessen allfälligem Auffinden weitergeführt bzw. sistiert werden, zumal sich bei dieser Ausgangslage die Möglichkeit aufdrängt, dass der CVR nie aufgefunden werden kann (act. 1.12). Sollte der CVR später dennoch aufgefunden werden und sich daraus neue Er- kenntnisse ergeben, so könnte dies zur Wiederaufnahme des Strafverfah- rens nach Art. 323 Abs. 1 StPO führen. Dasselbe gilt auch hinsichtlich des Schlussberichts des BFU. Zurzeit ist nicht davon auszugehen, dass diesem Schlussbericht neue Erkenntnisse entnommen werden können. Sollte dies der Fall sein, so müsste die Staatsanwaltschaft bzw. die Bundesanwalt- schaft gemäss Art. 323 Abs. 1 StPO das Strafverfahren wieder aufnehmen.</w:t>
      </w:r>
    </w:p>
    <w:p>
      <w:r>
        <w:t>2.2.6 Nicht zu beanstanden ist, dass die Beschwerdegegnerin einen oder beide Piloten als Hauptverdächtige sieht. Dieser Verdacht gründet auf der Flug- route nach dem abgebrochenen Landeanflug. Diese Flugroute kann im Wesentlichen als gesichert gelten.</w:t>
      </w:r>
    </w:p>
    <w:p>
      <w:r>
        <w:t>2.2.7 Es rechtfertigt sich nicht, ein Strafverfahren ausschliesslich deshalb weiter zu führen, um mögliche Schuldner für eine Zivilforderung zu finden. Die Zi- vilansprüche können in einem Zivilverfahren vollumfänglich geltend ge- macht werden, weswegen dem Beschwerdeführer diesbezüglich kein</w:t>
      </w:r>
    </w:p>
    <w:p>
      <w:r>
        <w:t>- 7 -</w:t>
      </w:r>
    </w:p>
    <w:p>
      <w:r>
        <w:t>Rechtsnachteil erwächst. In der strafrechtlichen Aufarbeitung kann auch of- fen bleiben, welcher der beiden Piloten das Manöver ausführte.</w:t>
      </w:r>
    </w:p>
    <w:p>
      <w:r>
        <w:t>2.2.8 Abschliessend ist festzuhalten, dass gemäss Art. 98 Abs. 1 LFG die an Bord eines Luftfahrzeuges begangenen strafbaren Handlungen unter Vor- behalt von Abs. 2 LFG der Bundesstrafgerichtsbarkeit unterstehen. Für ein allfällig strafbares Verhalten ausserhalb des Luftfahrzeuges sind die kanto- nalen Strafverfolgungsbehörden zuständig. Da die beiden Piloten verstor- ben sind, kann gegen sie kein Strafverfahren mehr geführt werden. Weitere Hinweise für ein strafbares Verhalten an Bord des Flugzeuges liegen keine vor. Ebenso sind keine Anhaltspunkte für ein strafbares Verhalten ausser- halb des Luftfahrzeuges gegeben. Aufgrund dessen ist die Einstellung des Strafverfahrens vorliegend zu Recht erfolgt. Sollte der Schlussbericht des BFU oder bei Fund des CVR dessen Auswertung Erkenntnisse hervorbrin- gen, welche auf ein strafbares Verhalten schliessen liessen, hätte die kan- tonale Staatsanwaltschaft bzw. die Bundesanwaltschaft nach Art. 323 Abs. 1 StPO die Wiederaufnahme des Verfahrens zu verfügen.</w:t>
      </w:r>
    </w:p>
    <w:p>
      <w:r>
        <w:t>Zusammenfassend ergibt sich daraus, dass die Beschwerde abzuweisen ist.</w:t>
      </w:r>
    </w:p>
    <w:p>
      <w:r>
        <w:t>3. Bei diesem Ausgang des Verfahrens hat der Beschwerdeführer die Ge- richtskosten zu tragen (Art. 428 Abs. 1 StPO). Die Gerichtsgebühr wird auf Fr. 1’500.-- festgesetzt (Art. 73 StBOG i.V.m. Art. 5 und Art. 8 Abs. 1 des Reglements des Bundesstrafgerichts vom 31. August 2010 über die Kos- ten, Gebühren und Entschädigungen in Bundesstrafverfahren [BStKR; SR 173.713.162]), unter Anrechung des geleisteten Kostenvorschusses in der Höhe von Fr. 1'500.--.</w:t>
      </w:r>
    </w:p>
    <w:p>
      <w:r>
        <w:t>- 8 -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