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BB.2011.70 vom 10. November 2011</w:t>
      </w:r>
    </w:p>
    <w:p>
      <w:r>
        <w:t>Bundesstrafgericht, 2011-11-10, FR</w:t>
      </w:r>
    </w:p>
    <w:p>
      <w:r>
        <w:rPr>
          <w:b/>
        </w:rPr>
        <w:t xml:space="preserve">Quelle: </w:t>
      </w:r>
      <w:r>
        <w:t>https://mcp.opencaselaw.ch/entscheid/bstger_BB.2011.70</w:t>
      </w:r>
    </w:p>
    <w:p>
      <w:r>
        <w:t>FR: TPF BB.2011.70 du 10 novembre 2011</w:t>
      </w:r>
    </w:p>
    <w:p>
      <w:r>
        <w:t>IT: TPF BB.2011.70 del 10 novembre 2011</w:t>
      </w:r>
    </w:p>
    <w:p>
      <w:pPr>
        <w:pStyle w:val="Heading2"/>
      </w:pPr>
      <w:r>
        <w:t>Regeste</w:t>
      </w:r>
    </w:p>
    <w:p>
      <w:r>
        <w:t>Séquestre (art. 263 ss CPP).</w:t>
      </w:r>
    </w:p>
    <w:p>
      <w:pPr>
        <w:pStyle w:val="Heading2"/>
      </w:pPr>
      <w:r>
        <w:t>Erwägungen</w:t>
      </w:r>
    </w:p>
    <w:p>
      <w:r>
        <w:rPr>
          <w:b/>
        </w:rPr>
        <w:t>E. 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 Ces conditions étant remplies en l’espèce, le recours est recevable.</w:t>
      </w:r>
    </w:p>
    <w:p>
      <w:r>
        <w:rPr>
          <w:b/>
        </w:rPr>
        <w:t>E. 2</w:t>
      </w:r>
    </w:p>
    <w:p>
      <w:r>
        <w:t>La recourante conteste le bien-fondé de la mesure de séquestre frappant son compte auprès de la banque N. AG.</w:t>
      </w:r>
    </w:p>
    <w:p>
      <w:r>
        <w:rPr>
          <w:b/>
        </w:rPr>
        <w:t>E. 2.1</w:t>
      </w:r>
    </w:p>
    <w:p>
      <w:r>
        <w:t>En tant qu’autorité de recours, la Ire Cour des plaintes examine avec plein pouvoir de cognition en fait et en droit les recours qui lui sont soumis (cf. Message relatif à l’unification du droit de la procédure pénale du 21 décembre 2005, FF 2006 1057, 1296 in fine; STEPHENSON/THIRIET, Commentaire bâlois, Schweizerische Strafprozessordnung, no 15 ad art. 393; KELLER, Kommentar zur Schweizerischen Strafprozessordnung [StPO], [Donatsch/Hansjakob/Lieber, éd.], no 39 ad art. 393; SCHMID, Handbuch des schweizerischen Strafprozessrechts, Zurich/Saint-Gall 2009, no 1512).</w:t>
      </w:r>
    </w:p>
    <w:p>
      <w:r>
        <w:rPr>
          <w:b/>
        </w:rPr>
        <w:t>E. 2.2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 d’enquête et que l’existence d’un lien de causalité adéquat entre les va- leurs saisies et les actes délictueux puisse être considérée comme haute-</w:t>
      </w:r>
    </w:p>
    <w:p>
      <w:r>
        <w:t>- 6 -</w:t>
      </w:r>
    </w:p>
    <w:p>
      <w:r>
        <w:t>ment vraisemblable (ATF 122 IV 91 consid. 4 p. 95; OBERHOLZER, Grund- züge des Strafprozessrechts, 2ème éd., Berne 2005, no 1139).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r>
        <w:rPr>
          <w:b/>
        </w:rPr>
        <w:t>E. 2.3</w:t>
      </w:r>
    </w:p>
    <w:p>
      <w:r>
        <w:t>Le MPC fait valoir que le séquestre se justifierait par les soupçons pesant sur D. quant à la réalisation/utilisation de faux dans les titres et de faux dans les certificats, soupçons confirmés par un rapport de la PJF du 14 mars 2011 (act. 5, p. 3). Il ressortirait de l’enquête que ce dernier aurait établi au moins une quinzaine de formulaires A ne mentionnant pas les vé- ritables ayants droit économiques des comptes sur lesquels il a un pouvoir de signature et qu’il aurait à plusieurs reprises fait usage de faux passe- ports irlandais pour l’ouverture de comptes en Suisse pour ses clients et notamment pour L. Le séquestre des avoirs de la recourante auprès de la banque N. AG trouverait en outre justification dans les soupçons de blan- chiment d’argent pesant sur D.. Celui-ci aurait ouvert des comptes, de même que géré et dissimulé des fonds importants d’origine criminelle confiés par L. L’avancement de l’enquête aurait renforcé de tels soupçons en déterminant notamment que L., entre 2005 et 2007, aurait commis aux Etats-Unis des transactions frauduleuses lui permettant de tirer d’importants gains au travers de la société de gestion de fonds P. Ltd et de sa firme de courtage Q. Inc, ce au détriment des hedge funds gérés par la première citée (act. 5, p. 3). Le MPC se fonde à cet égard sur un rapport du 15 juillet 2011 établi par le CCEF et sur une plainte du 24 février 2011 inter- jetée à l’encontre de L. et autres par la Security and Exchange Commission (ci-après: SEC) auprès de la Cour des Etats-Unis du district central de Cali- fornie (act. 9.1). En résumé, des avoirs suspects à hauteur de USD 27 mio, EUR 6.8 mio et GBP 9.8 mio auraient été versés sur les comptes de L. en Suisse (auprès de la banque R., devenue S.) et de là transférés sur des comptes gérés par D. à l’étranger ou en Suisse (act. 9.1, p. 4). Le MPC souligne en outre que l’ayant droit économique du compte séquestré est E. AG, dont D. serait l’unique actionnaire selon le profil client du compte, et que ce dernier ainsi que I. ont un pouvoir de signature individuel sur celui-</w:t>
      </w:r>
    </w:p>
    <w:p>
      <w:r>
        <w:t>- 7 -</w:t>
      </w:r>
    </w:p>
    <w:p>
      <w:r>
        <w:t>ci. Le MPC relève au surplus l’existence de trois mouvements principaux du compte dont l’arrière-plan économique ne serait pas connu, soit : 1) un crédit de AUD 120'000, le 18 mars 2011, en provenance d’un compte de la société T. Ltd, dont AA. est l’ayant droit économique, 2) un crédit de EUR 190'000.--, le 21 septembre 2010, en provenance d’un compte de la société BB. Ltd, dont CC. est l’ayant droit économique, et 3) un crédit de GBP 165'000, le 12 avril 2010, en provenance d’un compte de la société DD. Ltd. Au vu de l’implication de D., il se justifierait de séquestrer les avoirs présents sur le compte litigieux, à tout le moins à titre de créance compen- satrice.</w:t>
      </w:r>
    </w:p>
    <w:p>
      <w:r>
        <w:rPr>
          <w:b/>
        </w:rPr>
        <w:t>E. 2.4</w:t>
      </w:r>
    </w:p>
    <w:p>
      <w:r>
        <w:t>Selon la recourante, il ne subsisterait aucun indice de ce que le compte sé- questré abriterait des valeurs patrimoniales ayant servi à la commission d’une infraction ou provenant de celle-ci (act. 1, p. 5). Les trois versements mis en exergue par le MPC n’auraient par ailleurs aucun lien avec L., ce dernier et D. ayant au demeurant mis un terme à leur relation d’affaires an- térieurement à l’ouverture du compte séquestré (act. 14, p. 2). La recou- rante relève au surplus que les faits exposés dans la plainte de la SEC re- lative aux prétendues escroqueries commises par L. ne seraient pas dé- montrés et que la procédure actuellement en cours aux Etats-Unis serait de nature administrative et non pas pénale (act. 14, p. 2 et 3). Les avoirs pré- sents sur le compte, contrairement à ce que le MPC semblerait suggérer, n’appartiendraient en outre pas à D. mais seraient les fonds des clients de la fiduciaire E. AG. Le séquestre ne se justifierait enfin pas par l’éventuel prononcé d’une créance compensatrice, D. n’ayant commis aucun acte de blanchiment et le MPC ne chiffrant pas les montants qui auraient fait l’objet d’un tel blanchiment (act. 14, p. 5).</w:t>
      </w:r>
    </w:p>
    <w:p>
      <w:r>
        <w:rPr>
          <w:b/>
        </w:rPr>
        <w:t>E. 3</w:t>
      </w:r>
    </w:p>
    <w:p>
      <w:r>
        <w:t>Il ressort des éléments au dossier qu’aucun rattachement direct entre les fonds présents sur le compte séquestré et un éventuel crime préalable, no- tamment les escroqueries dont L. est suspecté, n’a pu être mis en évidence in casu. En effet, les analyses financières menées jusqu’à présent n’ont pas identifié des versements pouvant être reliés aux fonds supposés de provenance illicite que L. aurait confié à D. ou encore à des fonds ayant origine dans d’autres crimes. L’identification de mouvements dont l’arrière plan économique serait inconnu n’est pas, en tant que telle et après plus de deux ans d’enquête, susceptible de justifier le séquestre d’avoirs. Certes, les circonstances entourant l’activité financière mise en place par D., vis-à- vis de L. notamment, soulèvent nombre d’interrogations aptes à créer des soupçons sur la licéité de certaines opérations; toutefois, un complexe de fait général ne peut à lui seul motiver un séquestre, la condition de base</w:t>
      </w:r>
    </w:p>
    <w:p>
      <w:r>
        <w:t>- 8 -</w:t>
      </w:r>
    </w:p>
    <w:p>
      <w:r>
        <w:t>d’un tel prononcé étant l’existence d’indices suffisants permettant de sus- pecter que les valeurs patrimoniales dont est requis le séquestre ont servi à commettre une infraction ou en sont le produit. Comme il a été relevé supra (consid. 2.2), pour que le maintien de la mesure se justifie, il importe que les présomptions se renforcent au cours des investigations et que le lien de causalité adéquat entre les valeurs saisies et les actes délictueux puisse être considéré comme hautement vraisemblable. Or, les enquêtes menées dans le cadre de la présente procédure pénale, suffisamment avancées pour que l’on puisse exiger que toute mesure de séquestre soit motivée par des éléments tangibles, n’ont pas relevé de rapports directs notamment en- tre le compte séquestré et d’autres relations bancaires susceptibles d’avoir été approvisionnées avec les fonds présumés illicites de L. En particulier, le compte de la recourante n’apparaît pas dans le rapport du CCEF du 15 juil- let 2011 retraçant les mouvements de fonds à partir des comptes étrangers et suisses de L.</w:t>
      </w:r>
    </w:p>
    <w:p>
      <w:r>
        <w:t>En outre, les soupçons du MPC, uniquement suggérés mais pas formelle- ment explicités, quant à l’appartenance des fonds séquestrés à D. et non pas à E. AG, ayant droit économique du compte, ne permettent pas à eux seuls de rendre vraisemblable l’existence d’un lien entre ces avoirs et une infraction préalable. Aucun élément factuel à l’appui d’une telle thèse n’a été fourni en l’espèce.</w:t>
      </w:r>
    </w:p>
    <w:p>
      <w:r>
        <w:t>Au vu de ce qui précède, il y a lieu de constater que la condition de base au prononcé d’une mesure de séquestre, soit la subsistance d’indices suffi- sants permettant de suspecter que les valeurs patrimoniales ont servi à commettre une infraction ou en sont le produit, fait défaut.</w:t>
      </w:r>
    </w:p>
    <w:p>
      <w:r>
        <w:rPr>
          <w:b/>
        </w:rPr>
        <w:t>E. 4</w:t>
      </w:r>
    </w:p>
    <w:p>
      <w:r>
        <w:t>Sans fournir de motivation, le MPC justifie subsidiairement le séquestre en- trepris par l’éventuel prononcé d’une créance compensatrice.</w:t>
      </w:r>
    </w:p>
    <w:p>
      <w:r>
        <w:rPr>
          <w:b/>
        </w:rPr>
        <w:t>E. 4.1</w:t>
      </w:r>
    </w:p>
    <w:p>
      <w:r>
        <w:t>Selon l’art. 71 al. 1 CP, lorsque les valeurs patrimoniales à confisquer ne sont plus disponibles, le juge ordonne leur remplacement par une créance compensatrice de l’Etat d’un montant équivalent. L’alinéa 3 du même arti- cle dispose de plus que l’autorité d’instruction peut placer sous séquestre, en vue de l’exécution d’une créance compensatrice, des valeurs patrimo- niales appartenant à la personne concernée. La créance compensatrice est subsidiaire à la confiscation de valeurs patrimoniales de l’art. 70 CP (HIR- SIG-VOUILLOZ, Commentaire romand, n° 1 ad art. 71 CP). En raison de ce caractère subsidiaire, la créance compensatrice ne peut être ordonnée que si, dans l’hypothèse où les valeurs patrimoniales provenant de l’infraction</w:t>
      </w:r>
    </w:p>
    <w:p>
      <w:r>
        <w:t>- 9 -</w:t>
      </w:r>
    </w:p>
    <w:p>
      <w:r>
        <w:t>auraient été disponibles, la confiscation eût été prononcée (arrêt du Tribu- nal fédéral 1B_185/2007 du 30 novembre 2007, consid. 10.1). La créance compensatrice est ainsi soumise aux mêmes conditions que la confiscation (HIRSIG-VOUILLOZ, Confiscation pénale et créance compensatrice – art. 69 à 72 CP –, in Jusletter du 8 janvier 2007). Entrent en considération comme fondement d’une créance compensatoire,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 que obtenu au moment de l’infraction (HIRSIG-VOUILLOZ, op. cit., n° 8 ad art. 71 CP). Cela présuppose ainsi que les valeurs patrimoniales mises sous séquestre équivalent au produit supposé d’une infraction, d’une part, et que le séquestre ordonné aux fins d’exécution de la créance compensatrice vise la personne concernée, d’autre part. Par « personne concernée » au sens de l’art. 71 al. 3 CP on entend non seulement l’auteur de l’infraction, mais aussi tout tiers favorisé, d’une manière ou d’une autre, par l’infraction (arrêt du Tribunal fédéral 1B_185/2007 du 30 novembre 2007, consid. 10.1). Une créance compensatrice ne peut être prononcée à l’égard d’un tiers qu’aux conditions de l’art. 71 al. 1 CP in fine qui renvoie à l’art. 70 al. 2 CP (SCHMID (éd), Kommentar Einziehung, organisiertes Verbrechen, Geldwäscherei, 2ème éd., tome I Zurich 2007, p. 174). Le tiers doit notam- ment avoir acquis les valeurs en connaissance de cause (arrêt du Tribunal fédéral 1B_160/2007 du 1er novembre 2007, consid. 2.4).</w:t>
      </w:r>
    </w:p>
    <w:p>
      <w:r>
        <w:rPr>
          <w:b/>
        </w:rPr>
        <w:t>E. 4.2</w:t>
      </w:r>
    </w:p>
    <w:p>
      <w:r>
        <w:t>In casu, étant donné que des liens directs entre le compte séquestré et un crime préalable n’ont pas été identifiés, il sied d’examiner le contexte fac- tuel pris dans son ensemble afin de déterminer si les conditions liées au prononcé d’une créance compensatrice seraient données au vu de l’état général de la procédure pénale. En d’autres termes, il s’imposerait notam- ment d’établir si les montants présumés de provenance illicite pouvant être imputés à D., L. ou à d’autres prévenus dans la présente procédure ne se- raient plus disponibles. Or, il n’est pas prétendu que tel serait le cas en l’espèce. Le MPC ne fournit aucune indication dans ce sens. De multiples comptes susceptibles de recueillir des fonds illicites ont été séquestrés dans le cadre de la procédure pénale concernée sans qu’il soit toutefois donné à la Cour de céans l’occasion de savoir quel est le montant total des avoirs actuellement sous main de justice. Il n’est au surplus pas connu de la Cour de céans si des démarches ont été entreprises par le MPC en Aus- tralie ou aux Etats-Unis et, le cas échéant, de quelle nature seraient celles- ci. Il ne subsiste ainsi aucune donnée permettant de conclure que les fonds actuellement séquestrés seraient inférieurs au produit de la/des infraction/s</w:t>
      </w:r>
    </w:p>
    <w:p>
      <w:r>
        <w:t>- 10 -</w:t>
      </w:r>
    </w:p>
    <w:p>
      <w:r>
        <w:t>suspectée/s et qu’il se justifierait dès lors de prononcer un séquestre en vue de garantir le prononcé d’une créance compensatrice pour les mon- tants disparus. Il n’est par ailleurs pas possible de déterminer si les avoirs présents sur le compte séquestré appartiendraient non pas à son ayant droit économique, E. AG, mais à D. ou à L., aucun élément factuel ne per- mettant de supporter une telle hypothèse quant à ladite relation bancaire en particulier. A elle seule, l’affirmation que D. serait l’unique actionnaire de ladite société n’apparaît pas, en l’état, suffisante.</w:t>
      </w:r>
    </w:p>
    <w:p>
      <w:r>
        <w:rPr>
          <w:b/>
        </w:rPr>
        <w:t>E. 4.3</w:t>
      </w:r>
    </w:p>
    <w:p>
      <w:r>
        <w:t>Les conditions posées par la jurisprudence et la doctrine susmentionnées en relation au séquestre d’avoirs en vue de garantir le prononcé d’une créance compensatrice ne sont ainsi pas réalisées en l’occurrence.</w:t>
      </w:r>
    </w:p>
    <w:p>
      <w:r>
        <w:rPr>
          <w:b/>
        </w:rPr>
        <w:t>E. 5</w:t>
      </w:r>
    </w:p>
    <w:p>
      <w:r>
        <w:t>Au vu de ce qui précède, force est de conclure que le séquestre du compte de la recourante auprès de la banque N. AG n’est pas justifié. Le recours est ainsi admis. Compte tenu de cette conclusion, les autres griefs soule- vés par la recourante ne seront pas examinés.</w:t>
      </w:r>
    </w:p>
    <w:p>
      <w:r>
        <w:rPr>
          <w:b/>
        </w:rPr>
        <w:t>E. 6.1</w:t>
      </w:r>
    </w:p>
    <w:p>
      <w:r>
        <w:t>En considération du sort du recours, la présente décision est rendue sans frais (art. 428 al. 1 CPP en lien avec l’art. 66 al. 4 LTF). L’avance de frais acquittée par la recourante lui sera dès lors intégralement restituée.</w:t>
      </w:r>
    </w:p>
    <w:p>
      <w:r>
        <w:rPr>
          <w:b/>
        </w:rPr>
        <w:t>E. 6.2</w:t>
      </w:r>
    </w:p>
    <w:p>
      <w:r>
        <w:t>La partie qui obtient gain de cause a droit à une indemnité pour les dépen- ses occasionnées par l’exercice raisonnable de ses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En l’espèce, la recourante a été représentée par un conseil juridique jusqu’à la clôture de l’échange d’écritures. Au vu du travail accompli par ce dernier dans ce cadre, il y a lieu de considérer qu’une indemnité d’un montant de Fr. 1'500.-- (TVA incluse) paraît équitable.</w:t>
      </w:r>
    </w:p>
    <w:p>
      <w:r>
        <w:t>- 11 -</w:t>
      </w:r>
    </w:p>
    <w:p>
      <w:r>
        <w:t>Par ces motifs, la Ire Cour des plaintes prononce:</w:t>
      </w:r>
    </w:p>
    <w:p>
      <w:r>
        <w:t>1. Le recours est admis.</w:t>
      </w:r>
    </w:p>
    <w:p>
      <w:r>
        <w:t>2. Le séquestre sur le compte n° 1 au nom de A. Ltd auprès de la banque N. AG est levé.</w:t>
      </w:r>
    </w:p>
    <w:p>
      <w:r>
        <w:t>3. La présente décision est rendue sans frais. L’avance de frais de Fr. 1'500.-- acquittée par la recourante lui est intégralement restituée.</w:t>
      </w:r>
    </w:p>
    <w:p>
      <w:r>
        <w:t>4. Une indemnité de Fr. 1'500.-- (TVA comprise) est allouée à la recourante, à charge de la partie adverse.</w:t>
      </w:r>
    </w:p>
    <w:p>
      <w:r>
        <w:t>Bellinzone, le 10 novembre 2011</w:t>
      </w:r>
    </w:p>
    <w:p>
      <w:r>
        <w:t>Au nom de la Ire Cour des plaintes du Tribunal pénal fédéral</w:t>
      </w:r>
    </w:p>
    <w:p>
      <w:r>
        <w:t>Le président:</w:t>
      </w:r>
    </w:p>
    <w:p>
      <w:r>
        <w:t>La greffière:</w:t>
      </w:r>
    </w:p>
    <w:p>
      <w:r>
        <w:t>Distribution</w:t>
      </w:r>
    </w:p>
    <w:p>
      <w:r>
        <w:t>- A. Ltd, - Ministère public de la Confédération,</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