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BB.2011.49 vom 7. Juli 2011</w:t>
      </w:r>
    </w:p>
    <w:p>
      <w:r>
        <w:t>Bundesstrafgericht, 2011-07-07, DE</w:t>
      </w:r>
    </w:p>
    <w:p>
      <w:r>
        <w:rPr>
          <w:b/>
        </w:rPr>
        <w:t xml:space="preserve">Quelle: </w:t>
      </w:r>
      <w:r>
        <w:t>https://mcp.opencaselaw.ch/entscheid/bstger_BB.2011.49</w:t>
      </w:r>
    </w:p>
    <w:p>
      <w:r>
        <w:t>FR: TPF BB.2011.49 du 7 juillet 2011</w:t>
      </w:r>
    </w:p>
    <w:p>
      <w:r>
        <w:t>IT: TPF BB.2011.49 del 7 luglio 2011</w:t>
      </w:r>
    </w:p>
    <w:p>
      <w:pPr>
        <w:pStyle w:val="Heading2"/>
      </w:pPr>
      <w:r>
        <w:t>Regeste</w:t>
      </w:r>
    </w:p>
    <w:p>
      <w:r>
        <w:t>Zulassung der Verteidigung (Art. 127 Abs. 2-5 i.V.m. Art. 129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