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BB.2011.39 vom 11. August 2011</w:t>
      </w:r>
    </w:p>
    <w:p>
      <w:r>
        <w:t>Bundesstrafgericht, 2011-08-11, DE</w:t>
      </w:r>
    </w:p>
    <w:p>
      <w:r>
        <w:rPr>
          <w:b/>
        </w:rPr>
        <w:t xml:space="preserve">Quelle: </w:t>
      </w:r>
      <w:r>
        <w:t>https://mcp.opencaselaw.ch/entscheid/bstger_BB.2011.39</w:t>
      </w:r>
    </w:p>
    <w:p>
      <w:r>
        <w:t>FR: TPF BB.2011.39 du 11 août 2011</w:t>
      </w:r>
    </w:p>
    <w:p>
      <w:r>
        <w:t>IT: TPF BB.2011.39 del 11 agosto 2011</w:t>
      </w:r>
    </w:p>
    <w:p>
      <w:pPr>
        <w:pStyle w:val="Heading2"/>
      </w:pPr>
      <w:r>
        <w:t>Regeste</w:t>
      </w:r>
    </w:p>
    <w:p>
      <w:r>
        <w:t>Einziehungsbeschlagnahme (Art. 263 Abs. 1 lit. d StPO)</w:t>
      </w:r>
    </w:p>
    <w:p>
      <w:pPr>
        <w:pStyle w:val="Heading2"/>
      </w:pPr>
      <w:r>
        <w:t>Volltext</w:t>
      </w:r>
    </w:p>
    <w:p>
      <w:r>
        <w:t>Beschluss vom 11. August 2011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Einziehungsbeschlagnahme (Art. 263 Abs. 1 lit. d StPO)</w:t>
      </w:r>
    </w:p>
    <w:p>
      <w:r>
        <w:t>B u n d e s s t r a f g e r i c h t T r i b u n a l p é n a l f é d é r a l T r i b u n a l e p e n a l e f e d e r a l e T r i b u n a l p e n a l f e d e r a l Geschäftsnummer: BB.2011.39</w:t>
      </w:r>
    </w:p>
    <w:p>
      <w:r>
        <w:t>- 2 -</w:t>
      </w:r>
    </w:p>
    <w:p>
      <w:r>
        <w:t>Die I. Beschwerdekammer hält fest, dass:</w:t>
      </w:r>
    </w:p>
    <w:p>
      <w:r>
        <w:t>- die Bundesanwaltschaft am 19. Oktober 2004 die Liegenschaft Z. in Y. im Eigentum von A. mit einer Grundbuchsperre belegte (act. 6.1) und im wei- teren Verlaufe des Verfahrens weitere Vermögenswerte von A. beschlag- nahmte;</w:t>
      </w:r>
    </w:p>
    <w:p>
      <w:r>
        <w:t>- A. und dessen Ehefrau B. im Herbst 2006 aus der genannten Liegenschaft auszogen und die C. AG in Y. seit dem 20. September 2006 mit der Bewirt- schaftung der Liegenschaft beauftragt ist (act. 1.1, S .1 und 2);</w:t>
      </w:r>
    </w:p>
    <w:p>
      <w:r>
        <w:t>- in den Jahren 2009 und 2010 mehrere Schäden an der Liegenschaft Z. auf- traten, welche eine Sanierung unabdingbar machen (act. 1.9, act. 1.1, S. 2);</w:t>
      </w:r>
    </w:p>
    <w:p>
      <w:r>
        <w:t>- die Bundesanwaltschaft mit Verfügung vom 4. April 2011 Fr. 200'000.-- aus den beschlagnahmten Vermögenswerten von A. für Sanierungsmassnah- men und die seit dem 1. Januar 2011 laufenden Unterhalts- und Verwal- tungskosten der Liegenschaft Z. zur Verfügung stellte (act. 1.1, S. 3);</w:t>
      </w:r>
    </w:p>
    <w:p>
      <w:r>
        <w:t>- A. mit Beschwerde vom 14. April 2011 die vollumfängliche Aufhebung der angefochtenen Verfügung und die Auferlegung der Sanierungskosten der Liegenschaft Z. in Y. auf die Bundesanwaltschaft, respektive die Staats- kasse beantragt (act. 1, Ziff. I.);</w:t>
      </w:r>
    </w:p>
    <w:p>
      <w:r>
        <w:t>- die Bundesanwaltschaft in ihrer Beschwerdeantwort vom 13. Mai 2011 be- antragt, die Beschwerde unter Kosten- und Entschädigungsfolgen zu Las- ten des Beschwerdeführers abzuweisen (act. 6);</w:t>
      </w:r>
    </w:p>
    <w:p>
      <w:r>
        <w:t>- A. in seiner Beschwerdereplik vom 24. Mai 2011 sinngemäss an seiner Be- schwerde festhält (act. 8).</w:t>
      </w:r>
    </w:p>
    <w:p>
      <w:r>
        <w:t>Die I. Beschwerdekammer zieht in Erwägung, dass:</w:t>
      </w:r>
    </w:p>
    <w:p>
      <w:r>
        <w:t>- gegen Verfügungen und Verfahrenshandlungen der Bundesanwaltschaft bei der I. Beschwerdekammer des Bundesstrafgerichts Beschwerde nach den Vorschriften der Art. 393 ff. StPO erhoben werden kann (Art. 393 Abs. 1 lit. a StPO i.V.m. Art. 37 Abs. 1 StBOG und Art. 19 Abs. 1 des Orga-</w:t>
      </w:r>
    </w:p>
    <w:p>
      <w:r>
        <w:t>- 3 -</w:t>
      </w:r>
    </w:p>
    <w:p>
      <w:r>
        <w:t>nisationsreglements vom 31. August 2010 für das Bundesstrafgericht [Or- ganisationsreglement BStGer, BStGerOR; SR 173.713.161]);</w:t>
      </w:r>
    </w:p>
    <w:p>
      <w:r>
        <w:t>- der Beschwerdeführer am 5. April 2011 von der angefochtenen Verfügung Kenntnis erlangte und am 14. April 2011 Beschwerde erhob (act. 1, Ziff. II.1), die Beschwerde somit form- und fristgerecht eingereicht wurde (Art. 396 Abs. 1 StPO);</w:t>
      </w:r>
    </w:p>
    <w:p>
      <w:r>
        <w:t>- der Beschwerdeführer als Eigentümer der beschlagnahmten Vermögens- werte direkt betroffen und damit zur Beschwerde legitimiert ist (Art. 382 Abs. 1 StPO);</w:t>
      </w:r>
    </w:p>
    <w:p>
      <w:r>
        <w:t>- die Schäden an der Liegenschaft Z. in Y. von keiner Partei bestritten sind und eine ausbleibende Sanierung zu einem enormen Schaden führen wür- de (act. 1, Ziff. 6);</w:t>
      </w:r>
    </w:p>
    <w:p>
      <w:r>
        <w:t>- der Beschwerdeführer der vorzeitigen Verwertung der Liegenschaft zuge- stimmt hat (act. 1, Ziff. 5; act. 6, Ziff. 9) und die Liegenschaft ohne Sanie- rung nicht veräussert werden könnte, womit die anfallenden Kosten Ver- wertungskosten im Sinne von Art. 73 Abs. 1 lit. b StGB darstellen und die Finanzierung der Sanierung durch Verwendung der ebenfalls dem Be- schwerdeführer zuzurechnenden Vermögenswerte somit angebracht ist;</w:t>
      </w:r>
    </w:p>
    <w:p>
      <w:r>
        <w:t>- die der Bundesanwaltschaft vorgeworfene Verletzung der Sorgfaltspflicht (act. 1, Ziff. 5) durch den Geschädigten im heutigen Verfahrensstadium al- lenfalls auf dem Weg der Staatshaftung gegen die Bundesanwaltschaft nach den Bestimmungen des Bundesgesetzes vom 14. März 1958 über die Verantwortlichkeit des Bundes sowie seiner Behördemitglieder und Beam- ten (Verantwortlichkeitsgesetz, VG; SR 170.32) geltend zu machen ist, nachdem die am 1. Januar 2011 in Kraft getretene StPO keine entspre- chende Klage auf Schadenersatz infolge einer Sorgfaltspflichtverletzung der Strafverfolgungsbehörden vorsieht;</w:t>
      </w:r>
    </w:p>
    <w:p>
      <w:r>
        <w:t>- auf die Beschwerde aus den oben genannten Gründen nicht eingetreten wird;</w:t>
      </w:r>
    </w:p>
    <w:p>
      <w:r>
        <w:t>- bei diesem Ausgang des Verfahrens die Gerichtskosten dem Beschwerde- führer aufzuerlegen sind (Art. 428 Abs. 1 StPO);</w:t>
      </w:r>
    </w:p>
    <w:p>
      <w:r>
        <w:t>- die Gerichtsgebühr auf Fr. 500.-- festgesetzt und mit dem geleisteten Kos- tenvorschuss in der Höhe von Fr. 1'500.-- verrechnet wird und der Restbe- trag von Fr. 1'000.-- dem Beschwerdeführer zurückzuerstatten ist (Art. 73</w:t>
      </w:r>
    </w:p>
    <w:p>
      <w:r>
        <w:t>- 4 -</w:t>
      </w:r>
    </w:p>
    <w:p>
      <w:r>
        <w:t>StBOG und Art. 5 und Art. 8 Abs. 1 des Reglements des Bundesstrafge- richts vom 31. August 2010 über die Kosten, Gebühren und Entschädigun- gen in Bundesstrafverfahren, BStKR; SR 173.713.162);</w:t>
      </w:r>
    </w:p>
    <w:p>
      <w:r>
        <w:t>- 5 -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500.-- wird dem Beschwerdeführer auferlegt, un- ter Anrechnung des geleisteten Kostenvorschusses in der Höhe von Fr. 1'500.--. Die Bundesstrafgerichtskasse wird angewiesen, dem Beschwer- deführer Fr. 1'000.-- zurückzuerstatten.</w:t>
      </w:r>
    </w:p>
    <w:p>
      <w:r>
        <w:t>Bellinzona, 11. August 2011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