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BB.2011.35 vom 6. Juni 2011</w:t>
      </w:r>
    </w:p>
    <w:p>
      <w:r>
        <w:t>Bundesstrafgericht, 2011-06-06, DE</w:t>
      </w:r>
    </w:p>
    <w:p>
      <w:r>
        <w:rPr>
          <w:b/>
        </w:rPr>
        <w:t xml:space="preserve">Quelle: </w:t>
      </w:r>
      <w:r>
        <w:t>https://mcp.opencaselaw.ch/entscheid/bstger_BB.2011.35</w:t>
      </w:r>
    </w:p>
    <w:p>
      <w:r>
        <w:t>FR: TPF BB.2011.35 du 6 juin 2011</w:t>
      </w:r>
    </w:p>
    <w:p>
      <w:r>
        <w:t>IT: TPF BB.2011.35 del 6 giugno 2011</w:t>
      </w:r>
    </w:p>
    <w:p>
      <w:pPr>
        <w:pStyle w:val="Heading2"/>
      </w:pPr>
      <w:r>
        <w:t>Regeste</w:t>
      </w:r>
    </w:p>
    <w:p>
      <w:r>
        <w:t>Überwachung des Post- und Fernmeldeverkehrs (Art. 279 Abs. 3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August 2007, sowie am 4. September 2007 im Briefkasten des Regie- rungsrates D., des Nationalrates E. und vor dem Haus der damaligen Prä- sidentin der Kommission F., G., eröffnete die Bundesanwaltschaft ein ge- richtspolizeiliches Ermittlungsverfahren gegen H., alias I., alias J. genannt A. wegen Verdachts der Gefährdung durch Sprengstoffe in verbrecheri- scher Absicht (Art. 224 Abs. 1 StGB) sowie wegen Verdachts des Herstel- lens und Verbergens von Sprengstoffen (Art. 226 StGB). Dabei ordnete die Bundesanwaltschaft (nachfolgend „BA“) eine genehmigungspflichtige Überwachung der von A. benutzten Telefonanschlüsse und des E-Mail- Accounts an. Der Präsident der I. Beschwerdekammer genehmigte die An- ordnung sowie die mehrfache Verlängerung der technischen Überwachun- gen. Mit Schreiben vom 24. März 2011 teilte die BA den Beschwerdefüh- rern 1 bis 3 die Überwachungsmassnahmen mit (act. 1.2, 1.3 und 1.4, 1.6).</w:t>
      </w:r>
    </w:p>
    <w:p>
      <w:r>
        <w:t>B. Hiergegen gelangten die Beschwerdeführer 1 bis 3 mit Beschwerde vom</w:t>
      </w:r>
    </w:p>
    <w:p>
      <w:r>
        <w:rPr>
          <w:b/>
        </w:rPr>
        <w:t>E. 4</w:t>
      </w:r>
    </w:p>
    <w:p>
      <w:r>
        <w:t>April 2011 an die I. Beschwerdekammer des Bundesstrafgerichts und beantragen was folgt (act. 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