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BB.2011.25 vom 30. Mai 2011</w:t>
      </w:r>
    </w:p>
    <w:p>
      <w:r>
        <w:t>Bundesstrafgericht, 2011-05-30, IT</w:t>
      </w:r>
    </w:p>
    <w:p>
      <w:r>
        <w:rPr>
          <w:b/>
        </w:rPr>
        <w:t xml:space="preserve">Quelle: </w:t>
      </w:r>
      <w:r>
        <w:t>https://mcp.opencaselaw.ch/entscheid/bstger_BB.2011.25</w:t>
      </w:r>
    </w:p>
    <w:p>
      <w:r>
        <w:t>FR: TPF BB.2011.25 du 30 mai 2011</w:t>
      </w:r>
    </w:p>
    <w:p>
      <w:r>
        <w:t>IT: TPF BB.2011.25 del 30 maggio 2011</w:t>
      </w:r>
    </w:p>
    <w:p>
      <w:pPr>
        <w:pStyle w:val="Heading2"/>
      </w:pPr>
      <w:r>
        <w:t>Regeste</w:t>
      </w:r>
    </w:p>
    <w:p>
      <w:r>
        <w:t>Ordine di edizione e sequestro (art. 263 CPP); apposizione di sigilli (art. 248 cpv. 1 CPP).</w:t>
      </w:r>
    </w:p>
    <w:p>
      <w:pPr>
        <w:pStyle w:val="Heading2"/>
      </w:pPr>
      <w:r>
        <w:t>Erwägungen</w:t>
      </w:r>
    </w:p>
    <w:p>
      <w:r>
        <w:rPr>
          <w:b/>
        </w:rPr>
        <w:t>E. 1.1</w:t>
      </w:r>
    </w:p>
    <w:p>
      <w:r>
        <w:t>Contro le decisioni e gli atti procedurali del MPC può essere interposto re- clamo dinanzi alla I Corte dei reclami penali del Tribunale penale federale a norma degli art. 393 ss CPP (v. art. 393 cpv. 1 lett. a CPP in relazione con l’art. 37 cpv. 1 LOAP e con l’art. 19 cpv. 1 del Regolamento del 31 agosto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 le loro conclusioni (v. DTF 132 I 140 consid. 1.1; 131 I 153 consid. 1; 131 II 361 consid. 1, 131 II 571 consid. 1).</w:t>
      </w:r>
    </w:p>
    <w:p>
      <w:r>
        <w:t>- 5 -</w:t>
      </w:r>
    </w:p>
    <w:p>
      <w:r>
        <w:rPr>
          <w:b/>
        </w:rPr>
        <w:t>E. 1.3</w:t>
      </w:r>
    </w:p>
    <w:p>
      <w:r>
        <w:t>Il reclamo contro decisioni comunicate per iscritto o oralmente va presentato e motivato entro dieci giorni (art. 396 CPP). Nella fattispecie, l’esistenza del decreto impugnato datato 23 febbraio 2011 è stata comunicata al legale dei reclamanti il 28 febbraio 2011, mentre il testo dell’ordine gli è stato intimato il 10 marzo 2011. Il reclamo, interposto l’8 marzo 2011, sarebbe pertanto tem- pestivo.</w:t>
      </w:r>
    </w:p>
    <w:p>
      <w:r>
        <w:rPr>
          <w:b/>
        </w:rPr>
        <w:t>E. 1.4</w:t>
      </w:r>
    </w:p>
    <w:p>
      <w:r>
        <w:t>Sono legittimate ad interporre reclamo contro una decisione le parti che han- no un interesse giuridicamente protetto all’annullamento o alla modifica della stessa (art. 382 cpv. 1 CPP). L’interesse protetto viene meno in particolare quando la misura contestata è stata eseguita, quando ha già esplicato tutti i suoi effetti o è divenuta priva d’oggetto (DTF 125 II 86 consid. 5b).</w:t>
      </w:r>
    </w:p>
    <w:p>
      <w:r>
        <w:rPr>
          <w:b/>
        </w:rPr>
        <w:t>E. 1.5</w:t>
      </w:r>
    </w:p>
    <w:p>
      <w:r>
        <w:t>Adita con un reclamo, la I Corte dei reclami penali del Tribunale penale fede- rale dispone di un libero potere d’apprezzamento (art. 393 CPP). Giusta l’art. 393 cpv. 2 CPP, mediante il reclamo si possono censurare le violazioni del diritto, compresi l’eccesso e l’abuso del potere di apprezzamento e la de- negata o ritardata giustizia (lett. a), l’accertamento inesatto o incompleto dei fatti (lett. b) nonché l’inadeguatezza (lett. c).</w:t>
      </w:r>
    </w:p>
    <w:p>
      <w:r>
        <w:rPr>
          <w:b/>
        </w:rPr>
        <w:t>E. 2</w:t>
      </w:r>
    </w:p>
    <w:p>
      <w:r>
        <w:t>Giusta l’art. 248 cpv. 1 del Codice di diritto processuale penale svizzero (CPP; RS.312.0), qualora il detentore di carte oggetto di un ordine di seque- stro si opponga invocando la facoltà di non rispondere o di non deporre op- pure altri motivi, queste saranno poste sotto sigillo; spetterà quindi all’autorità penale di presentare, entro 20 giorni, una domanda di dissigillamento (art. 248 cpv. 2 CPP). L’apposizione dei sigilli e il deposito in luogo sicuro non costituiscono delle misure coercitive suscettibili di reclamo. La perquisi- zione non può intervenire che quando è possibile prendere conoscenza delle carte, ossia dopo la levata dei sigilli. Il sequestro diventa effettivo, dopo la le- vata dei sigilli, solo quando l’autorità inquirente ha proceduto alla cernita dei documenti e ha deciso di conservare quelli che giudica pertinenti per l’inchiesta (v. TPF 2006 307). Il proprietario delle carte sequestrate o il terzo sequestratario dispongono allora di facoltà di reclamo contro questa misura dinanzi alla I Corte dei reclami penali (art. 393 cpv. 1 lett. a CPP).</w:t>
      </w:r>
    </w:p>
    <w:p>
      <w:r>
        <w:rPr>
          <w:b/>
        </w:rPr>
        <w:t>E. 2.1</w:t>
      </w:r>
    </w:p>
    <w:p>
      <w:r>
        <w:t>Nel caso concreto, nonostante la decisione impugnata sia stata denominata “Decreto di edizione e sequestro della documentazione Art. 263 ss. CPP” e malgrado il MPC abbia indicato, nelle sue osservazioni, di avere proceduto al sequestro della documentazione quale mezzo di prova contestualmente all’edizione della medesima (v. act. 6, pag. 3), va considerato che l’ordine del 23 febbraio 2011 riguardava unicamente l’edizione della documentazione, mentre il vero e proprio sequestro è intervenuto unicamente in una fase suc- cessiva, una volta che il MPC ha preso visione dei documenti editi dalla ban-</w:t>
      </w:r>
    </w:p>
    <w:p>
      <w:r>
        <w:t>- 6 -</w:t>
      </w:r>
    </w:p>
    <w:p>
      <w:r>
        <w:t>ca G. SA (ricevuti dal MPC l’8 marzo 2011 ed analizzati sino all’11 marzo 2011 [v. act. 3, pag. 4, e act. 3.4 e 3.5 degli incarti BP.2011.12-14]), ossia al più presto dall’8 marzo 2011.</w:t>
      </w:r>
    </w:p>
    <w:p>
      <w:r>
        <w:rPr>
          <w:b/>
        </w:rPr>
        <w:t>E. 2.2</w:t>
      </w:r>
    </w:p>
    <w:p>
      <w:r>
        <w:t>Il reclamo dell’8 marzo 2011 (act. 1), diretto contro l’ordine del 23 feb- braio 2011, è dunque stato presentato nella fase dell’edizione e perquisizio- ne delle carte, prima che i documenti bancari fossero stati analizzati dal MPC e che quest’ultimo potesse decidere quali conservare in quanto pertinenti per l’inchiesta. In questo senso, la decisione di sequestro è successiva all’ordine di edizione.</w:t>
      </w:r>
    </w:p>
    <w:p>
      <w:r>
        <w:rPr>
          <w:b/>
        </w:rPr>
        <w:t>E. 2.3</w:t>
      </w:r>
    </w:p>
    <w:p>
      <w:r>
        <w:t>Come detto, nella fase dell’edizione delle carte, unicamente il detentore può opporsi chiedendo l’apposizione dei sigilli a norma dell’art. 248 cpv. 1 CPP. Per detentore va intesa la persona che possiede effettivamente le carte, re- gistrazioni e altri oggetti; trattandosi di documentazione bancaria, detentore sarà la banca, e non invece il titolare del conto o l’avente diritto economico (v. CHIRAZI, Commentaire Romand, Code de procédure pénale suisse, 2011, Basilea, n. 4 ad art. 248; Schweizerische Strafprozessordnung/ Schweizerische Jugendstrafprozessordnung, Basler Kommentar, 2010, Basi- lea, n. 6 ad art. 248; FF 2006 1142). Nel caso concreto, i reclamanti, titolari dei conti bancari, non possono essere considerati “detentori” della documen- tazione, a differenza della banca G. SA, istituto che non ha però fatto valere alcuna opposizione a seguito dell’ordine di edizione, e ciò nonostante l’ordine sia giunto ai reclamanti il 28 febbraio 2011 e la documentazione sia stata spedita al MPC dalla banca detentrice solo il 7 marzo successivo (v. act. 3.4 degli incarti BP.2011.12-14). Essi non potevano dunque opporsi all’ordine di edizione, né richiedendo l’apposizione dei sigilli (in quanto non legittimati), né interporre reclamo contro l’ordine del 23 febbraio 2011, trat- tandosi di un ordine di edizione non impugnabile (v. decreto del 25 marzo 2011, act. 4 degli incarti BP.2011.12-14), mentre il vero e proprio sequestro – questo sì passibile di reclamo − è intervenuto più tardi, in ogni caso non prima dell’8 marzo 2011.</w:t>
      </w:r>
    </w:p>
    <w:p>
      <w:r>
        <w:rPr>
          <w:b/>
        </w:rPr>
        <w:t>E. 2.4</w:t>
      </w:r>
    </w:p>
    <w:p>
      <w:r>
        <w:t>Da quanto sopra deriva che il reclamo è irricevibile, essendo presentato con- tro un ordine di edizione non impugnabile (v. sentenza TPF 2006 307; TPF BA.2005.9 del 16 novembre 2005 consid. 1; BB.2005.100 del 16 novem- bre 2005 consid. 2; BK_B 071/04 del 12 ottobre 2004 consid. 2.3 ; v. anche DTF 119 IV 326 consid. 7b; 109 IV 153 consid. 1).</w:t>
      </w:r>
    </w:p>
    <w:p>
      <w:r>
        <w:rPr>
          <w:b/>
        </w:rPr>
        <w:t>E. 3</w:t>
      </w:r>
    </w:p>
    <w:p>
      <w:r>
        <w:t>Ad ogni modo, anche volendo considerare che il reclamo dell’8 marzo 2011 potesse riguardare anche il sequestro della documentazione (documentazio- ne volta a completare i documenti bancari già raccolti in ambito rogatoriale ed acquisiti agli atti del procedimento federale con decreto del 23 febbraio</w:t>
      </w:r>
    </w:p>
    <w:p>
      <w:r>
        <w:t>- 7 -</w:t>
      </w:r>
    </w:p>
    <w:p>
      <w:r>
        <w:t>2011 [v. act. 3.2 degli incarti. BP.2011.12-14]), questo non potrebbe comun- que essere accolto, e ciò per i motivi seguenti.</w:t>
      </w:r>
    </w:p>
    <w:p>
      <w:r>
        <w:rPr>
          <w:b/>
        </w:rPr>
        <w:t>E. 3.1</w:t>
      </w:r>
    </w:p>
    <w:p>
      <w:r>
        <w:t>La legittimazione dei reclamanti − titolari delle relazioni bancarie oggetto del decreto del 23 febbraio 2011 − ad impugnare un decreto di sequestro sareb- be data. In effetti, trattandosi di una misura di sequestro di un conto banca- rio, il titolare del conto ha un interesse giuridicamente protetto all’annullamento o alla modifica della stessa (v. sentenza del Tribunale pena- le federale BB.2005.69 del 1° febbraio 2006; BB.2005.25 del 12 agosto 2005, consid. 1.2 e rinvii; BB.2005.11 del 14 giugno 2005, consid. 1.2 e rin- vii; cfr. anche sentenza del Tribunale federale 6S.365/2005 dell’8 feb- braio 2006, consid. 4.2.1).</w:t>
      </w:r>
    </w:p>
    <w:p>
      <w:r>
        <w:rPr>
          <w:b/>
        </w:rPr>
        <w:t>E. 3.2</w:t>
      </w:r>
    </w:p>
    <w:p>
      <w:r>
        <w:t>Secondo costanti dottrina e giurisprudenza il sequestro e il blocco del registro fondiario per i fondi costituiscono misure processuali provvisionali volte ad assicurare i mezzi di prova nel corso dell’inchiesta e/o la restituzione ai dan- neggiati, nonché a garantire le spese procedurali, le pene pecuniarie, le mul- te e le indennità (v. art. 263 cpv. 1 lett. a-c CPP); parimenti si possono se- questrare oggetti e beni patrimoniali sottostanti presumibilmente a confisca a norma degli art. 69 e segg. CP (v. art. 263 cpv. 1 lett. d CPP; sentenza del Tribunale federale 1S.2/2004 del 6 agosto 2004, consid. 2.2 e rinvii); fintanto che sussiste una possibilità di confisca, l’interesse pubblico impone di man- tenere il sequestro penale (DTF 125 IV 222 consid. 2 non pubblicato; 124 IV 313 consid. 3b e 4; sentenza del Tribunale federale 1B_157/2007 del 25 ot- tobre 2007, consid. 2.2; SJ 1994 pag. 97, 102).</w:t>
      </w:r>
    </w:p>
    <w:p>
      <w:r>
        <w:t>Per sua natura, tale provvedimento va preso rapidamente ritenuto che, di re- gola, spetterà al giudice di merito pronunciare le misure definitive e determi- nare i diritti dei terzi sui beni in questione. Come in tutti gli istituti procedurali che intaccano eccezionalmente i diritti individuali per prevalenza di interesse pubblico, il sequestro è legittimo unicamente in presenza concorrente di suf- ficienti indizi di reato e di connessione tra questo e l’oggetto che occorre sal- vaguardare agli incombenti dell’autorità inquirente; la misura ordinata deve inoltre essere rispettosa del principio della proporzionalità (DONATSCH/HANS- JAKOB/LIEBER, Kommentar zur Schweizerischen Strafprozessordnung (StPO), Zurigo/Basilea/Ginevra 2010, n. 4 ad art. 263 CPP; Hauser/Schweri/ Hartmann, Schweizerisches Strafprozessrecht, 6a ediz., Basilea 2005, pag. 341 n. 3; Piquerez, Traité de procédure pénale suisse, 2a ediz., Ginevra/Zu- rigo/Basilea 2006, n. 914).</w:t>
      </w:r>
    </w:p>
    <w:p>
      <w:r>
        <w:t>Nelle fasi iniziali dell’inchiesta penale non ci si dovrà mostrare troppo esigen- ti quanto al fondamento del sospetto: è infatti sufficiente che il carattere illeci- to dei fatti rimproverati appaia verosimile. L’indizio di reato deve però concre-</w:t>
      </w:r>
    </w:p>
    <w:p>
      <w:r>
        <w:t>- 8 -</w:t>
      </w:r>
    </w:p>
    <w:p>
      <w:r>
        <w:t>tizzarsi e rafforzarsi nel corso del procedimento in modo che “la prospettiva di una condanna deve sembrare vieppiù fortemente verosimile” (cfr. senten- za del Tribunale federale 1B_157/2007 del 25 ottobre 2007, consid. 2.2; sen- tenza del Tribunale federale 1S.3/2005 del 7 febbraio 2005, consid. 2.3; TPF BB.2006.16 del 24 luglio 2006, consid. 2.1 e rinvii; DONATSCH/HANS- JAKOB/LIEBER, op. cit., n. 13 ad art. 263 CPP); le esigenze poste all’intensifi- cazione dell’indizio di reato man mano che aumenta la durata del provvedi- mento coercitivo non devono tuttavia essere eccessive (TPF 2006 269 con- sid. 2.2). Adita con un reclamo, la I Corte dei reclami penali non può statuire sul merito del procedimento penale, ma deve limitarsi ad esaminare l’ammissibilità del sequestro in quanto tale (DTF 119 IV 326 consid. 7c e 7d).</w:t>
      </w:r>
    </w:p>
    <w:p>
      <w:r>
        <w:rPr>
          <w:b/>
        </w:rPr>
        <w:t>E. 3.3</w:t>
      </w:r>
    </w:p>
    <w:p>
      <w:r>
        <w:t>Nella fattispecie, come detto, il decreto impugnato, datato 23 febbraio 2011, era volto a completare la documentazione bancaria dei conti in oggetto già ottenuta nell’ambito della rogatoria RH.09.0015 ed acquisita agli atti della procedura federale SV.09.0120 unitamente ad alcuni verbali di interrogatorio, al fine di dimostrare l’esatta dinamica dei flussi di denaro e determinare le destinazioni finali dei valori patrimoniali di sospetta origine criminale. Si trat- tava in particolare, a mente del MPC, delle somme versate da società d’interesse per la procedura svizzera, tra cui la società C. Ltd., i cui conti a- vrebbero alimentato indirettamente relazioni in Svizzera riconducibili a F. Il MPC ha precisato che il decreto in questione ha quale scopo quello “di ac- quisire e sequestrare la documentazione comprovante la destinazione dei versamenti effettuati dalla società H. Ltd. dal suo conto presso la banca I. di Londra e dal conto della C. Ltd. pure presso la banca I. di Londra sul conto della società C. Ltd. a Lugano (banca G. SA) e poi sui conti n. 2 e n. 3 (pure banca G. SA)” (v. act. 7, pag. 3): tale documentazione dovrebbe permettere di determinare se F. abbia ottenuto del denaro tramite i conti dei reclamanti, come pure di valutare la posizione degli stessi nell’ambito della procedura. Attualmente, pertanto, gli indizi di reato appaiono sufficienti a legittimare un sequestro, come pure lo è la connessione tra l’ipotesi di reato ed i conti dei reclamanti; anche il principio di proporzionalità non è violato, ritenuto che già il MPC possiede ed ha visionato la maggior parte della documentazione bancaria relativa alle relazioni in questione, e che, pertanto, l’acquisizione di ulteriori specifici giustificativi non appare sproporzionata se confrontata con l’interesse a progredire nell’indagine, da un lato, e la privacy dei reclamanti ed il segreto bancario (che non ha comunque valenza nell’ambito di inchieste penali), dall’altro.</w:t>
      </w:r>
    </w:p>
    <w:p>
      <w:r>
        <w:rPr>
          <w:b/>
        </w:rPr>
        <w:t>E. 4</w:t>
      </w:r>
    </w:p>
    <w:p>
      <w:r>
        <w:t>Altre misure provvisorie volte ad impedire che il MPC visioni la documenta- zione edita dalla banca G. SA, quali l’apposizione di sigilli, non si giustifiche- rebbero allo stadio attuale, ritenuto che il MPC ha già potuto analizzare e vi- sionare i documenti prodotti dall’istituto bancario tra l’8 e l’11 marzo 2011</w:t>
      </w:r>
    </w:p>
    <w:p>
      <w:r>
        <w:t>- 9 -</w:t>
      </w:r>
    </w:p>
    <w:p>
      <w:r>
        <w:t>(v. act. 3, pag. 5, degli incarti BP.2011.12-14; act. 2, pag. 5), e successiva- mente al 25 marzo 2011, data del decreto con cui è stato deciso il dissuggel- lamento della documentazione edita dalla banca G. SA (v. act. 4 incarti BP.2011.12-14).</w:t>
      </w:r>
    </w:p>
    <w:p>
      <w:r>
        <w:rPr>
          <w:b/>
        </w:rPr>
        <w:t>E. 5</w:t>
      </w:r>
    </w:p>
    <w:p>
      <w:r>
        <w:t>Conformemente all’art. 428 cpv. 1 CPP, le parti sostengono le spese della procedura di ricorso nella misura in cui prevalgono o soccombono nella cau- sa. Nel caso concreto, i reclamanti devono essere considerati parte soccom- bente. La tassa di giustizia è calcolata giusta gli art. 5 e 8 cpv. 1 del Regola- mento del 31 agosto 2010 del Tribunale penale federale sulle spese, gli emolumenti, le ripetibili e le indennità della procedura penale federale (RSPPF; RS 173.713.162) ed è fissata nella fattispecie a fr. 4’500.--: essa va posta a carico dei reclamanti in ragione di fr. 1'500.-- ciascuno ed è coperta dall’anticipo spese già prelevato.</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