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BB.2011.141 vom 7. Februar 2012</w:t>
      </w:r>
    </w:p>
    <w:p>
      <w:r>
        <w:t>Bundesstrafgericht, 2012-02-07, DE</w:t>
      </w:r>
    </w:p>
    <w:p>
      <w:r>
        <w:rPr>
          <w:b/>
        </w:rPr>
        <w:t xml:space="preserve">Quelle: </w:t>
      </w:r>
      <w:r>
        <w:t>https://mcp.opencaselaw.ch/entscheid/bstger_BB.2011.141</w:t>
      </w:r>
    </w:p>
    <w:p>
      <w:r>
        <w:t>FR: TPF BB.2011.141 du 7 février 2012</w:t>
      </w:r>
    </w:p>
    <w:p>
      <w:r>
        <w:t>IT: TPF BB.2011.141 del 7 febbraio 2012</w:t>
      </w:r>
    </w:p>
    <w:p>
      <w:pPr>
        <w:pStyle w:val="Heading2"/>
      </w:pPr>
      <w:r>
        <w:t>Regeste</w:t>
      </w:r>
    </w:p>
    <w:p>
      <w:r>
        <w:t>Wechsel der amtlichen Verteidigung (Art. 134 Abs. 2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Strafprozessrechts, BBl 2006 S. 1308). Die Beschwerde gegen schriftlich oder mündlich eröff- nete Entscheide ist innert zehn Tagen schriftlich und begründet einzurei- chen (Art. 396 Abs. 1 StPO). Mit ihr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w:t>
      </w:r>
    </w:p>
    <w:p>
      <w:r>
        <w:rPr>
          <w:b/>
        </w:rPr>
        <w:t>E. 1.2</w:t>
      </w:r>
    </w:p>
    <w:p>
      <w:r>
        <w:t>Die vorliegende Beschwerde richtet sich gegen die Verfügung der Be- schwerdegegnerin vom 5. Dezember 2011, beim Beschwerdeführer einge- gangen am 6. Dezember 2011 (act. 1.1), mit welcher das Gesuch des Be- schwerdeführers um Entlassung aus dem amtlichen Verteidigermandat für B. abgelehnt wurde. Mithin liegt ein taugliches Anfechtungsobjekt vor (vgl. SCHMID, Handbuch des schweizerischen Strafprozessrechts, Zü- rich/St. Gallen 2009, N. 749). Der Beschwerdeführer ist als eingesetzter</w:t>
      </w:r>
    </w:p>
    <w:p>
      <w:r>
        <w:t>- 4 -</w:t>
      </w:r>
    </w:p>
    <w:p>
      <w:r>
        <w:t>amtlicher Verteidiger durch den Entscheid direkt betroffen und damit zur Beschwerde legitimiert. Auf die im Übrigen frist- und formgerecht einge- reichte Beschwerde ist daher einzutreten.</w:t>
      </w:r>
    </w:p>
    <w:p>
      <w:r>
        <w:rPr>
          <w:b/>
        </w:rPr>
        <w:t>E. 2.1</w:t>
      </w:r>
    </w:p>
    <w:p>
      <w:r>
        <w:t>Ist das Vertrauensverhältnis zwischen der beschuldigten Person und ihrer amtlichen Verteidigung erheblich gestört oder eine wirksame Verteidigung aus andern Gründen nicht mehr gewährleistet, so überträgt die Verfahrens- leitung die amtliche Verteidigung einer anderen Person (Art. 134 Abs. 2 StPO). Diese Regelung geht in gewisser Hinsicht über die vor Inkrafttreten der StPO geltende Praxis hinaus, wonach ein Wechsel aus objektiven Gründen angezeigt sein musste. Sie trägt dem Umstand Rechnung, dass eine engagierte und effiziente Verteidigung nicht nur bei objektiver Pflicht- verletzung der Verteidigung, sondern bereits bei erheblich gestörtem Ver- trauensverhältnis beeinträchtigt sein kann, in Fällen also, in denen auch ei- ne privat verteidigte beschuldigte Person einen Wechsel der Verteidigung vornehmen würde (Botschaft vom 21. Dezember 2005 zur Vereinheitli- chung des Strafprozessrechts, BBl 2006 S. 1180 m.w.H.). Der amtliche Verteidiger kann das Gesuch um Entlassung aus dem Mandat praxisge- mäss namentlich in den Fällen stellen, bei denen besondere Umstände bzw. zwingende Gründe eingetreten sind, welche auch die Verweigerung der Mandatsübernahme rechtfertigen würden, wobei ein relativ strenger Massstab anzuwenden ist. Eine amtliche Mandatsniederlegung kommt u. a. beim expliziten gegenteiligen Wunsch des Beschuldigten in Frage, und zwar mit der Begründung, dass sonst das nötige Vertrauensverhältnis feh- len würde. Diesbezüglich bleibt eine einmal getroffene Wahl aber verbind- lich. Rein subjektive Gefühle des Verteidigers gegenüber dem Beschuldig- ten sind hinsichtlich einer beantragten Mandatsniederlegung irrelevant (vgl. hierzu HAEFELIN, Die amtliche Verteidigung im schweizerischen Strafpro- zess, Zürcher Diss., Zürich/St. Gallen 2010, S. 288 f. m.w.H.). Denkbar sind auch Fälle, in welchen die amtliche Verteidigung gegen den Willen des Beschuldigten angeordnet wird (bspw. in Fällen notwendiger Verteidigung) und in welchen der Aufbau eines Vertrauensverhältnisses schwierig, wenn nicht gar unmöglich sein dürfte. In Fällen, in welchen der Grund des Prob- lems nicht in der Person oder der Tätigkeit des Verteidigers, sondern in der Verhaltensweise des Beschuldigten oder in dessen Abneigung gegen den Verteidiger liegt, fällt ein Wechsel der amtlichen Verteidigung grundsätzlich nicht in Betracht (siehe GALLIANI/MARCELLINI, Codice svizzero di procedura penale [CPP] – Commentario, Zurigo/San Gallo 2010, n. 9 ad art. 134 CPP). Insbesondere bei umfangreichen oder komplexen Straffällen und nach längerer Ausübung des Mandates ist der Wechsel der amtlichen Ver-</w:t>
      </w:r>
    </w:p>
    <w:p>
      <w:r>
        <w:t>- 5 -</w:t>
      </w:r>
    </w:p>
    <w:p>
      <w:r>
        <w:t>teidigung nur mit Zurückhaltung zu bewilligen. So kann die beschuldigte Person durch die Verweigerung der Zusammenarbeit mit der Verteidigung keinen Verteidigungswechsel erzwingen (vgl. LIEBER, Kommentar zur Schweizerischen Strafprozessordnung [StPO], Zürich/Basel/Genf 2010, Art. 134 StPO N. 10 mit Hinweis auf das Urteil des Bundesgerichts 1B_67/2009 vom 14. Juli 2009, E. 2.5).</w:t>
      </w:r>
    </w:p>
    <w:p>
      <w:r>
        <w:rPr>
          <w:b/>
        </w:rPr>
        <w:t>E. 2.2</w:t>
      </w:r>
    </w:p>
    <w:p>
      <w:r>
        <w:t>Der angefochtenen Verfügung ist zu entnehmen, dass die Beschwerde- gegnerin die Umstände bezüglich des Verhältnisses zwischen dem Be- schwerdeführer als Verteidiger und B. als dem Beschuldigten so gut als möglich – diese Möglichkeiten sind durch das Anwaltsgeheimnis be- schränkt – abgeklärt und insbesondere entsprechende Schlussfolgerungen bezüglich des zur Frage stehenden Vertrauensverhältnisses gezogen hat. Sie hielt dabei im Ergebnis im Sinne höchstrichterlicher Rechtsprechung fest, dass kein Anspruch des Beschuldigten auf beliebige Auswechslung des amtlichen Verteidigers bestehe, weder aus prozesstaktischen noch aus Gründen des aus der subjektiven Sicht des Beschuldigten mangelnden Einsatzes des Verteidigers. Anders zu entscheiden würde bedeuten, Tröle- rei und Rechtsmissbrauch Vorschub zu leisten. Die Weigerung des Be- schuldigten, mit dem Verteidiger zu kooperieren, könne keinen Anwalts- wechsel begründen. Konkrete Pflichtverletzungen lägen keine vor und eine Störung des Vertrauensverhältnisses, soweit ein solches Vertrauensver- hältnis überhaupt vorhanden und notwendig sei, sei nicht gegeben. Das Schreiben von B. vom 28. November 2011 (act. 1.6) weise hauptsächlich auf einen zu grossen Mentalitätsunterschied hin, erhebe aber keine Vor- würfe, die eine Entlassung aus dem Mandat rechtfertigen würden (siehe act. 1.1, S. 2).</w:t>
      </w:r>
    </w:p>
    <w:p>
      <w:r>
        <w:t>Der Beschwerdeführer seinerseits weist wiederholt auf das gestörte Ver- trauensverhältnis hin und versucht anhand konkreter Äusserungen von B., diese Störung nachzuweisen (act. 1, S. 4). Ausserdem bemerkt er, dass es in Fällen wie dem vorliegenden, wo das Entlassungsgesuch vom einge- setzten amtlichen Verteidiger ausgehe, bezüglich des Nachweises der Stö- rung des Vertrauensverhältnisses mit einer gewissenhaften Erklärung die- ses Verteidigers sein Bewenden haben müsse, weil dieser durch das An- waltsgeheimnis daran gehindert werde, diesbezüglich detaillierte Angaben zu machen (act. 7, S. 3).</w:t>
      </w:r>
    </w:p>
    <w:p>
      <w:r>
        <w:t>B. selber, welcher gegen die angefochtene, ihm ebenfalls eröffnete Verfü- gung kein Rechtsmittel eingelegt hat, erklärte im Rahmen des vorliegenden Verfahrens lediglich, nichts gegen die vom Beschwerdeführer beantragte Entlassung aus seinem amtlichen Verteidigermandat zu haben, ohne sich</w:t>
      </w:r>
    </w:p>
    <w:p>
      <w:r>
        <w:t>- 6 -</w:t>
      </w:r>
    </w:p>
    <w:p>
      <w:r>
        <w:t>weitergehend zu den tatsächlichen und rechtlichen Ausführungen der Par- teien zu äussern (act. 11).</w:t>
      </w:r>
    </w:p>
    <w:p>
      <w:r>
        <w:t>Es ist in der dem vorliegenden Verfahren zugrunde liegenden Strafuntersu- chung nicht zu übersehen, dass insbesondere der Beschuldigte B. nicht davor zurückschreckt, sich in prozessual missbräuchlicher Art und Weise zu gebärden, wenn er glaubt, seiner Sache damit zu nützen. Diese Ten- denz zeigt sich in sehr deutlicher Weise in seinem Verhalten gegenüber den Verteidigern bzw. im Umgang mit seinen Verteidigungsrechten. So ist das an seinen momentanen Verteidiger gerichtete Schreiben vom 7. No- vember 2011 (act. 1.7) nicht anders als mit „ehrenrührig“ angemessen zu qualifizieren, und B. beabsichtigt damit offensichtlich, das Verhältnis zu seinem momentanen Verteidiger zu untergraben und zusätzliche Verteidi- gerwechsel zu provozieren, um das gegen ihn geführte Strafverfahren wei- ter zu verzögern und unnötig zu komplizieren. Wie der Beschwerdeführer selber bestätigt, wurde er vor der Mandatierung durch die Beschwerdegeg- nerin über eventuelle Schwierigkeiten bei der Zusammenarbeit mit B. hin- gewiesen und insbesondere darauf aufmerksam gemacht, dass dieser ei- nen anderen Anwalt habe beauftragen wollen (act. 7, S. 2). Angesichts die- ser Situation fragt es sich, welches Mass an Zumutungen seitens des Ver- beiständeten sich der amtlich eingesetzte notwendige Verteidiger bieten lassen muss, bevor er sein Mandat niederzulegen berechtigt ist. Die Tatsa- che, dass die Zulassung der Mandatsniederlegung dem Missbrauch der Verteidigungsrechte und der Trölerei Tür und Tor öffnen würde, spricht da- für, dass die Hürde sehr hoch anzusetzen ist und damit dem amtlichen notwendigen Verteidiger diesbezüglich viel zugemutet werden muss. Ver- gleichbar ist die vorliegende Situation mit derjenigen des Arztes, der ver- pflichtet ist, auch den – gegen den Arzt selber – aggressiven oder gewalttä- tigen Patienten weiter zu behandeln. Vorliegend erreichen die vom Be- schwerdeführer geltend gemachten Gründe für die Entlassung aus dem Verteidigermandat nicht die Intensität, die für eine solche Entlassung erfor- derlich sind.</w:t>
      </w:r>
    </w:p>
    <w:p>
      <w:r>
        <w:rPr>
          <w:b/>
        </w:rPr>
        <w:t>E. 2.3</w:t>
      </w:r>
    </w:p>
    <w:p>
      <w:r>
        <w:t>Nach dem Gesagten erweist sich die Beschwerde als unbegründet, wes- halb sie abzuweisen ist.</w:t>
      </w:r>
    </w:p>
    <w:p>
      <w:r>
        <w:rPr>
          <w:b/>
        </w:rPr>
        <w:t>E. 3</w:t>
      </w:r>
    </w:p>
    <w:p>
      <w:r>
        <w:t>Bei diesem Ausgang des Verfahrens hat der unterliegende Beschwerdefüh- rer die Gerichtskosten zu tragen (Art. 428 Abs. 1 StPO). Diese werden auf Fr 1'500.-- festgesetzt und mit dem geleisteten Kostenvorschuss in dersel- ben Höhe verrechnet (Art. 73 StBOG und Art. 5 und 8 Abs. 1 des Regle- ments des Bundesstrafgerichts vom 31. August 2010 über die Kosten, Ge-</w:t>
      </w:r>
    </w:p>
    <w:p>
      <w:r>
        <w:t>- 7 -</w:t>
      </w:r>
    </w:p>
    <w:p>
      <w:r>
        <w:t>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