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 vom 18. Mai 2011</w:t>
      </w:r>
    </w:p>
    <w:p>
      <w:r>
        <w:t>Bundesstrafgericht, 2011-05-18, FR</w:t>
      </w:r>
    </w:p>
    <w:p>
      <w:r>
        <w:rPr>
          <w:b/>
        </w:rPr>
        <w:t xml:space="preserve">Quelle: </w:t>
      </w:r>
      <w:r>
        <w:t>https://mcp.opencaselaw.ch/entscheid/bstger_BB.2011.13</w:t>
      </w:r>
    </w:p>
    <w:p>
      <w:r>
        <w:t>FR: TPF BB.2011.13 du 18 mai 2011</w:t>
      </w:r>
    </w:p>
    <w:p>
      <w:r>
        <w:t>IT: TPF BB.2011.13 del 18 maggio 2011</w:t>
      </w:r>
    </w:p>
    <w:p>
      <w:pPr>
        <w:pStyle w:val="Heading2"/>
      </w:pPr>
      <w:r>
        <w:t>Regeste</w:t>
      </w:r>
    </w:p>
    <w:p>
      <w:r>
        <w:t>Langue de la procédure (art. 3 LOAP). Assistance judiciaire (art. 132 al. 1 let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De jurisprudence constante, la Cour de céans rend en principe son arrêt dans la langue de la décision attaquée (arrêt du Tribunal pénal fédéral</w:t>
      </w:r>
    </w:p>
    <w:p>
      <w:r>
        <w:t>- 4 -</w:t>
      </w:r>
    </w:p>
    <w:p>
      <w:r>
        <w:t>BB.2007.47 du 13 novembre 2007, consid. 1.7). En l’espèce, il n’y a pas lieu de déroger à cette règle, même si le recours a été libellé en allemand.</w:t>
      </w:r>
    </w:p>
    <w:p>
      <w:r>
        <w:rPr>
          <w:b/>
        </w:rPr>
        <w:t>E. 1.3</w:t>
      </w:r>
    </w:p>
    <w:p>
      <w:r>
        <w:t>Les décisions du MPC peuvent faire l’objet d’un recours devant la Cour de céans (art. 393 al. 1 let. a CPP et 37 al. 1 LOAP en lien avec l’art. 19 al. 1 du règlement du 31 août 2010 sur l’organisation du Tribunal pénal fédéral [ROTPF; RS 173.713.161]). Le recours est recevable à la condition que le recourant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 En l’espèce, la décision entreprise a été notifiée le 24 janvier 2011 (act. 1.1). Le recours déposé le 3 février 2011 par le conseil d’office du re- courant l’a été en temps utile. L’intérêt juridiquement protégé de celui-ci à entreprendre une décision qui fixe la langue de la procédure à laquelle il est partie ne faisant aucun doute, ce dernier est légitimé à recourir. Le re- cours est ainsi recevable en la forme.</w:t>
      </w:r>
    </w:p>
    <w:p>
      <w:r>
        <w:rPr>
          <w:b/>
        </w:rPr>
        <w:t>E. 1.4</w:t>
      </w:r>
    </w:p>
    <w:p>
      <w:r>
        <w:t>En tant qu’autorité de recours, la Ire Cour des plaintes examine avec plein pouvoir de cognition en fait et en droit les recours qui lui sont soumis (Message relatif à l’unification du droit de la procédure pénale du 21 dé- cembre 2005, FF 2006 1057, 1296 in fine, ci-après: Message; STEPHEN- SON/THIRIET, Commentaire bâlois, Schweizerische Strafprozessordnung, no 15 ad art 393; KELLER, Kommentar zur Schweizerischen Strafprozes- sordnung [StPO], [Donatsch/Hansjakob/Lieber, éd.], no 39 ad art. 393; SCHMID, Handbuch des schweizerischen Strafprozessrechts, Zurich/Saint- Gall 2009, no 1512).</w:t>
      </w:r>
    </w:p>
    <w:p>
      <w:r>
        <w:rPr>
          <w:b/>
        </w:rPr>
        <w:t>E. 2</w:t>
      </w:r>
    </w:p>
    <w:p>
      <w:r>
        <w:t>Selon l’art. 67 CPP, la Confédération et les cantons déterminent les lan- gues dans lesquelles leurs autorités pénales conduisent les procédures (al. 1). Les autorités pénales cantonales accomplissent tous les actes de procédure dans ces langues; la direction de la procédure peut autoriser des dérogations (al. 2). Cette disposition pose le principe que la procédure pé- nale se déroule en règle générale dans une seule et même langue (MA- HON, Commentaire romand, Code de procédure pénale suisse, no 2 ad art. 67). La nouvelle loi fédérale du 19 mars 2010 sur les autorités pénales (LOAP; RS 173.71) qui accompagne et complète le CPP règle dorénavant la question de la langue de la procédure pénale devant les autorités fédéra- les (MAHON, op. cit., no 20 ad art. 67). Son article 3 précise en effet que la langue de la procédure est le français, l’italien ou l’allemand (al. 1). Le MPC</w:t>
      </w:r>
    </w:p>
    <w:p>
      <w:r>
        <w:t>- 5 -</w:t>
      </w:r>
    </w:p>
    <w:p>
      <w:r>
        <w:t>détermine la langue de la procédure à l’ouverture de l’instruction. Il prend notamment en compte: les connaissances linguistiques des participants à la procédure (let. a); la langue dans laquelle les pièces essentielles du dos- sier sont établies (let. b); la langue en usage au lieu où les premiers actes d’instruction ont été accomplis (let. c). Une fois déterminée, la langue de la procédure est utilisée jusqu’à la clôture de la procédure par une décision entrée en force (al. 3). A titre exceptionnel, il est possible de changer de langue pour de justes motifs, notamment en cas de jonction ou de disjonc- tion de procédures (al. 4). La nouvelle réglementation ne fait pratiquement que reprendre les dispositions qui existaient auparavant. Elle les complète avec les règles qui découlaient déjà de la jurisprudence, notamment quant aux différents éléments ou critères à prendre en considération dans la dé- termination de la langue de la procédure, de sorte que la jurisprudence rendue sous l’ancien droit demeure valable (MAHON, ibidem). Or, sous l’empire de ce dernier, aucune disposition ne régissait explicitement l’usage des langues devant le MPC et durant la procédure préliminaire lorsque celle-ci se déroulait devant les autorités fédérales. Le MPC disposait d’une certaine marge de manœuvre dans le choix des langues officielles, sous réserve du respect du principe de l’unité de la procédure, dans la mesure où le principe de la territorialité - auquel obéissait en principe le choix de l’emploi de la langue en procédure pénale (ATF 121 I 196 consid. 2 p. 198) - était difficile à appliquer en cas de procédures conduites devant le Tribu- nal pénal fédéral. En effet, les autorités fédérales sont compétentes pour agir sur l’ensemble du territoire de la Confédération, dans les trois régions linguistiques. Celles-là doivent être en mesure de mener leurs enquêtes et de rendre leurs décisions dans les trois langues nationales, soit en alle- mand, en français et en italien (SCHWANDER, Die sprachlichen Rücksichten in der Strafrechtspflege des Bundes, RPS 82/1966, p. 14 ss). De ce fait, l’autorité de poursuite disposait d’un large pouvoir d’appréciation, dont elle devait faire usage en tenant compte de l’ensemble des circonstances et no- tamment de la langue parlée par le ou les prévenus, lorsque ceux-ci s’exprimaient dans une langue nationale (ATF 121 I 196 consid. 5a p. 204; arrêt du Tribunal fédéral 1S.6/2004 du 11 janvier 2005, consid. 2, rés. in SJ 2005 I 315), de celle du lieu de commission des infractions ou encore du lieu d’exécution des mesures de contrainte. En outre, il lui incombait, no- tamment lorsque les prévenus s’exprimaient dans des langues officielles différentes, d’apprécier la solution la plus équitable compte tenu de l’ensemble des circonstances (arrêt du Tribunal pénal fédéral BB.2007.47 du 13 novembre 2007, consid. 2.1; MAHON, op. cit., no 19 ad art. 67 et réfé- rences citées). Le MPC ne pouvait cependant fixer la langue de la procé- dure en fonction de ses préférences ou pour des raisons d’organisation in- terne (ATF 121 I 196 consid. 5a p. 204). Il n’était pas possible non plus de</w:t>
      </w:r>
    </w:p>
    <w:p>
      <w:r>
        <w:t>- 6 -</w:t>
      </w:r>
    </w:p>
    <w:p>
      <w:r>
        <w:t>procéder à un calcul arithmétique pour fixer la langue de la procédure en fonction de celle parlée par le plus grand nombre de participants à celle-ci (ATF 121 I 196 consid. 5a p. 204).</w:t>
      </w:r>
    </w:p>
    <w:p>
      <w:r>
        <w:rPr>
          <w:b/>
        </w:rPr>
        <w:t>E. 3</w:t>
      </w:r>
    </w:p>
    <w:p>
      <w:r>
        <w:t>Dans la présente affaire, la PJF a établi un rapport le 28 février 2009, au terme duquel elle a requis l’ouverture d’une enquête (act. 12). Ce rapport était rédigé en français (act. 1.1; act. 8 p. 32 et act. 12). Or, c’est ce docu- ment qui a justifié non seulement les premiers actes d’instruction, notam- ment l’ouverture formelle de la procédure contre inconnus le 8 mai 2009 (act. 8 p. 1), soit il y a deux ans déjà, mais également les différentes exten- sions intervenues dès septembre 2009 (act. 8 p. 1) contre des prévenus établis dans plusieurs cantons suisses, ainsi que les mesures de contrainte qui s’en sont suivies. Par ailleurs, il faut rappeler que la procédure en cause est en lien avec une procédure parallèle SV.09.0197, ouverte quant à elle le 30 décembre 2009, portant sur le transfert en Suisse de sommes récoltées en France et se montant à Euros 120’000.--. Compte tenu de leur connexité, ces deux procédures ont été jointes le 4 janvier 2011 (act. 5.3). De plus, il convient de relever qu’en 2004 déjà, un des prévenus dans la présente affaire, B, qui vivait à Z. et était directeur de sociétés qui avaient également leur siège dans cette ville, a fait l’objet d’investigations en raison d’un transfert de France en Suisse de Euros 200’000.-- (act. 5.2 p. 5). Il apparaît ainsi que les premières infractions ayant justifié l’ouverture de la procédure concernée avaient été commises en France et en Romandie, éléments qui justifiaient le choix du français. Enfin, force est de constater que les faits sous enquête ont des ramifications dans toute la Suisse, sans qu’il n’y ait de prépondérance dans un canton ou l’autre (act. 12 p. 8 ss). En ce qui concerne les dénonciations MROS, il est vrai qu’elles ont été fai- tes par la banque C. et par la banque D. notamment et qu’à tout le moins en fonction de ce qui ressort du dossier, elles ont été rédigées en allemand (act. 5.5). Il sied de relever toutefois que la première, qui date du 28 juin 2010, concerne, comme le relève le MPC, une personne domiciliée à Y., soit une région francophone. Par ailleurs, ces dénonciations sont interve- nues bien après les premières mesures d’investigation entreprises par l’autorité de poursuite, laquelle avait entre temps notamment mandaté la PJF afin d’effectuer diverses missions tendant à établir les faits. Cette der- nière a ainsi rédigé différents rapports, pouvant être qualifiés d’essentiels pour l’enquête, lesquels ont tous été libellés en français (act. 5.2 p. 4; act. 12). En ce qui concerne les connaissances linguistiques des participants à la procédure, certes, ainsi que le relève le recourant, sur les douze prévenus</w:t>
      </w:r>
    </w:p>
    <w:p>
      <w:r>
        <w:t>- 7 -</w:t>
      </w:r>
    </w:p>
    <w:p>
      <w:r>
        <w:t>visés par l’enquête en cours, seul trois sont domiciliés dans des cantons francophones. Il reste que ceux-ci ne semblent pas pour autant maîtriser l’allemand. S’agissant plus particulièrement du recourant, il sied de relever que l’audience qui a eu lieu, dans le cadre de la procédure de détention, devant le Tribunal des mesures de contrainte a été menée en allemand (procès-verbal du 13 janvier 2011), mais que la présence d’un traducteur s’est néanmoins avérée indispensable, ainsi que le reconnaît le recourant lui-même (act. 13, p. 2). Cet élément tend à relativiser largement ses affir- mations selon lesquelles il comprend suffisamment l’allemand pour pouvoir le cas échéant corriger les erreurs des traducteurs. Ainsi, dans la mesure où une traduction en langue tamoule s’avère nécessaire, que celle-ci soit faite à partir du français ou de l’allemand ne saurait avoir d’incidence pour le recourant. Dans la mesure où une traduction est en tous les cas garantie (art. 68 CPP), et que de surcroît plusieurs pièces au dossier semblent être en langue tamoule que le recourant peut donc comprendre sans aide, ses droits ne sont en aucun cas lésés. Enfin, il convient de souligner que le droit à un interprète n’implique pas pour le bénéficiaire le droit de pouvoir s’assurer de la conformité de la traduction effectuée. Il appartient à l’autorité de contrôler que la traduction correspond bien à la vérité, notam- ment en rappelant aux interprètes les conséquences pénales d'une viola- tion du devoir de traduire conformément à la vérité, étant précisé que, pour le surplus, les règles sur la récusation valent par analogie pour les interprè- tes (art. 68, art. 184 al. 2 let. f et art. 56 par renvoi de l’art. 183 al. 3 CPP). Au vu des éléments qui précèdent, compte tenu des principes jurispruden- tiels alors en vigueur ainsi que de la large marge d’appréciation dont dispo- sait le MPC lorsqu’il a ouvert l’enquête il y a deux ans, on ne saurait lui re- procher d’avoir choisi le français comme langue de la procédure. Il faut en- core rappeler que, selon les dispositions actuelles, une fois déterminée, la langue de la procédure est utilisée jusqu’à sa clôture par une décision en- trée en force (art. 3 al. 3 LOAP). Aujourd’hui, ce n’est qu’à titre exception- nel qu’il est possible de changer la langue de la procédure, et ce, pour de justes motifs notamment en cas de jonction ou de disjonction de procédu- res (art. 3 al. 4 LOAP). Or, aucun élément du dossier, ni les arguments avancés par le recourant ne permettent de fonder l’existence de telles cir- constances, qui justifieraient, après deux ans de travaux et de multiples mesures d’enquête (act. 8) de modifier la langue de la procédure. Dès lors, compte tenu du travail déjà effectué dans ce dossier lequel a, dès le départ été mené en français, les principes de célérité et d’économie de la procé- dure commandent que celle-ci soit continuée dans cette langue. Par ail- leurs, force est d’admettre que le principe de la proportionnalité est en l’occurrence respecté puisque le MPC a expressément précisé ne pas être</w:t>
      </w:r>
    </w:p>
    <w:p>
      <w:r>
        <w:t>- 8 -</w:t>
      </w:r>
    </w:p>
    <w:p>
      <w:r>
        <w:t>opposé à ce que les défenseurs des prévenus puissent lui adresser leur correspondance en allemand (act. 1.1).</w:t>
      </w:r>
    </w:p>
    <w:p>
      <w:r>
        <w:rPr>
          <w:b/>
        </w:rPr>
        <w:t>E. 4</w:t>
      </w:r>
    </w:p>
    <w:p>
      <w:r>
        <w:t>Le recours, mal fondé, est donc rejeté.</w:t>
      </w:r>
    </w:p>
    <w:p>
      <w:r>
        <w:rPr>
          <w:b/>
        </w:rPr>
        <w:t>E. 5</w:t>
      </w:r>
    </w:p>
    <w:p>
      <w:r>
        <w:t>Le recourant a demandé à être mis au bénéfice de l’assistance judiciaire gratuite.</w:t>
      </w:r>
    </w:p>
    <w:p>
      <w:r>
        <w:rPr>
          <w:b/>
        </w:rPr>
        <w:t>E. 5.1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Code de procédure pénale suisse, nos 3 et 20 ad art. 132). Pour une défini- tion de cette dernière, il convient de se référer à l’art. 136 CPP dans la sec- tion de l’assistance judiciaire de la partie plaignante. Cette disposition pré- cise que l’assistance judiciaire gratuite comprend notamment l’exonération des frais de procédure (al. 2 let. b; HARARI/ALIBERTI, op. cit., no 21 ad art. 132). De jurisprudence constante, est considéré comme indigent celui qui ne peut assumer les frais liés à la défense de ses intérêts sans porter at- teinte au minimum nécessaire à son entretien et à celui de sa famille (ATF 125 IV 161 consid. 4a p. 164; 124 I 1 consid. 2a p. 2). L’indigence s’évalue en fonction de l’entière situation économique du requérant au moment du dépôt de sa demande d’assistance judiciaire (ATF 124 I 1 consid. 2a p. 2; 120 Ia 179 consid. 3a p. 181 et références citées), ce qui comprend d’une part toutes les obligations financières et, d’autre part, les revenus et la fortune (ATF 124 I 1 consid. 2a; 120 Ia 179 consid. 3a et réfé- 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 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w:t>
      </w:r>
    </w:p>
    <w:p>
      <w:r>
        <w:t>- 9 -</w:t>
      </w:r>
    </w:p>
    <w:p>
      <w:r>
        <w:t>fournir l’assistance judiciaire est subsidiaire par rapport au devoir d’assistance dérivant du droit de la famille, en particulier du droit du ma- 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 ments de revenu et de fortune des deux conjoints (arrêt du Tribunal pénal fédéral BB.2010.2 précité, ibidem, et références citées).</w:t>
      </w:r>
    </w:p>
    <w:p>
      <w:r>
        <w:rPr>
          <w:b/>
        </w:rPr>
        <w:t>E. 5.2</w:t>
      </w:r>
    </w:p>
    <w:p>
      <w:r>
        <w:t>En l’espèce, il ressort des pièces au dossier que le recourant avait certes un revenu de Fr. 4’800.-- par mois, il est toutefois resté quelques mois en détention et semble dès lors ne plus avoir de salaire. Par ailleurs, il a une dette de plus de Fr. 26’000.-- auprès de la banque C. (BP.2011.11 act. 3.5). Il doit également s’acquitter des frais de Fr. 1’500.-- résultant de la procédure BH.2011.1. Quant aux pièces établies par les services so- ciaux de X., elles font apparaître que l’épouse du recourant a un revenu mensuel moyen de Fr. 2’053.60 pour des charges de quelque Fr. 3’515.--, soit un solde négatif de Fr. 1’761.40 (BP.2011.11 act. 3.11). Compte tenu des éléments qui précèdent et du fait que lors du dépôt de la demande d’assistance judiciaire la cause ne semblait pas dépourvue de toute chance de succès (HARARI/ALIBERTI, op. cit., no 33 ad art. 136), il y a lieu d’admettre que les conditions d’octroi de l’assistance judiciaire sont ré- unies. Il sera donc statué sans frais.</w:t>
      </w:r>
    </w:p>
    <w:p>
      <w:r>
        <w:rPr>
          <w:b/>
        </w:rPr>
        <w:t>E. 6.1</w:t>
      </w:r>
    </w:p>
    <w:p>
      <w:r>
        <w:t>Un avocat d’office a été désigné au recourant en date du 11 janvier 2011 en la personne de Me Pascal Veuve à Zurich « [e]n application des art. 130-135 CPP ».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au recourant (art. 21 al. 2 et 3 du règlement du 31 août 2010 sur les frais, émoluments,</w:t>
      </w:r>
    </w:p>
    <w:p>
      <w:r>
        <w:t>- 10 -</w:t>
      </w:r>
    </w:p>
    <w:p>
      <w:r>
        <w:t>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 sente également l’avantage pour le défenseur lui-même d’être indemnisé dans des délais plus courts pour les opérations relatives aux procédures incidentes devant la Cour de céans.</w:t>
      </w:r>
    </w:p>
    <w:p>
      <w:r>
        <w:rPr>
          <w:b/>
        </w:rPr>
        <w:t>E. 6.2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1’600.--, TVA comprise, paraît justifiée. Ainsi que précisé au considérant précédent, la Caisse du Tribunal pénal fédéral versera cette indemnité au défenseur du prévenu. Celle-ci lui sera remboursée par le recourant s’il devait revenir à meilleure fortune (art. 135 al. 4 lit. a CPP; Message FF 2006 1057, 1160; art. 21 al. 3 RFPPF).</w:t>
      </w:r>
    </w:p>
    <w:p>
      <w:r>
        <w:t>- 11 -</w:t>
      </w:r>
    </w:p>
    <w:p>
      <w:r>
        <w:t>Par ces motifs, la Ire Cour des plaintes prononce:</w:t>
      </w:r>
    </w:p>
    <w:p>
      <w:r>
        <w:t>1. Le recours est rejeté.</w:t>
      </w:r>
    </w:p>
    <w:p>
      <w:r>
        <w:t>2. La demande d’assistance judiciaire est admise.</w:t>
      </w:r>
    </w:p>
    <w:p>
      <w:r>
        <w:t>3. Il est statué sans frais.</w:t>
      </w:r>
    </w:p>
    <w:p>
      <w:r>
        <w:t>4. L’indemnité d’avocat d’office de Me Pascal Veuve pour la présente procé- dure est fixée à Fr. 1’600.--, TVA comprise. Elle sera acquittée par la caisse du Tribunal pénal fédéral, laquelle en demandera le remboursement au re- courant s’il revient à meilleure fortune.</w:t>
      </w:r>
    </w:p>
    <w:p>
      <w:r>
        <w:t>Bellinzone, le 19 mai 2011</w:t>
      </w:r>
    </w:p>
    <w:p>
      <w:r>
        <w:t>Au nom de la Ire Cour des plaintes du Tribunal pénal fédéral</w:t>
      </w:r>
    </w:p>
    <w:p>
      <w:r>
        <w:t>Le président:</w:t>
      </w:r>
    </w:p>
    <w:p>
      <w:r>
        <w:t>La greffière:</w:t>
      </w:r>
    </w:p>
    <w:p>
      <w:r>
        <w:t>Distribution</w:t>
      </w:r>
    </w:p>
    <w:p>
      <w:r>
        <w:t>- Me Pascal Veuve, avocat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