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BB.2010.9 vom 30. April 2010</w:t>
      </w:r>
    </w:p>
    <w:p>
      <w:r>
        <w:t>Bundesstrafgericht, 2010-04-30, FR</w:t>
      </w:r>
    </w:p>
    <w:p>
      <w:r>
        <w:rPr>
          <w:b/>
        </w:rPr>
        <w:t xml:space="preserve">Quelle: </w:t>
      </w:r>
      <w:r>
        <w:t>https://mcp.opencaselaw.ch/entscheid/bstger_BB.2010.9</w:t>
      </w:r>
    </w:p>
    <w:p>
      <w:r>
        <w:t>FR: TPF BB.2010.9 du 30 avril 2010</w:t>
      </w:r>
    </w:p>
    <w:p>
      <w:r>
        <w:t>IT: TPF BB.2010.9 del 30 aprile 2010</w:t>
      </w:r>
    </w:p>
    <w:p>
      <w:pPr>
        <w:pStyle w:val="Heading2"/>
      </w:pPr>
      <w:r>
        <w:t>Regeste</w:t>
      </w:r>
    </w:p>
    <w:p>
      <w:r>
        <w:t>Séquestre et production de documents (art. 65 PPF).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 sans objet, la procédure est rayée du rôle.</w:t>
      </w:r>
    </w:p>
    <w:p>
      <w:r>
        <w:rPr>
          <w:b/>
        </w:rPr>
        <w:t>E. 2</w:t>
      </w:r>
    </w:p>
    <w:p>
      <w:r>
        <w:t>Il n’est pas perçu de frais.</w:t>
      </w:r>
    </w:p>
    <w:p>
      <w:r>
        <w:rPr>
          <w:b/>
        </w:rPr>
        <w:t>E. 3</w:t>
      </w:r>
    </w:p>
    <w:p>
      <w:r>
        <w:t>L’avance de frais de Fr. 1'500.-- acquittée par la plaignante lui est intégrale- ment remboursée.</w:t>
      </w:r>
    </w:p>
    <w:p>
      <w:r>
        <w:rPr>
          <w:b/>
        </w:rPr>
        <w:t>E. 4</w:t>
      </w:r>
    </w:p>
    <w:p>
      <w:r>
        <w:t>Une indemnité de Fr. 1'500.-- (TVA comprise) est allouée à la plaignante à titre de dépens, à charge du Ministère public de la Confédération.</w:t>
      </w:r>
    </w:p>
    <w:p>
      <w:r>
        <w:t>Bellinzone, le 30 avril 2010</w:t>
      </w:r>
    </w:p>
    <w:p>
      <w:r>
        <w:t>Au nom de la Ire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 Lorella Callea, avocate - Ministère public de la Confédération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