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BB.2010.81 vom 17. September 2010</w:t>
      </w:r>
    </w:p>
    <w:p>
      <w:r>
        <w:t>Bundesstrafgericht, 2010-09-17, DE</w:t>
      </w:r>
    </w:p>
    <w:p>
      <w:r>
        <w:rPr>
          <w:b/>
        </w:rPr>
        <w:t xml:space="preserve">Quelle: </w:t>
      </w:r>
      <w:r>
        <w:t>https://mcp.opencaselaw.ch/entscheid/bstger_BB.2010.81</w:t>
      </w:r>
    </w:p>
    <w:p>
      <w:r>
        <w:t>FR: TPF BB.2010.81 du 17 septembre 2010</w:t>
      </w:r>
    </w:p>
    <w:p>
      <w:r>
        <w:t>IT: TPF BB.2010.81 del 17 settembre 2010</w:t>
      </w:r>
    </w:p>
    <w:p>
      <w:pPr>
        <w:pStyle w:val="Heading2"/>
      </w:pPr>
      <w:r>
        <w:t>Regeste</w:t>
      </w:r>
    </w:p>
    <w:p>
      <w:r>
        <w:t>Verschiebung der Einvernahme (Art. 30 BStP). Aufschiebende Wirkung (Art. 218 BStP).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Aufl., Basel 2005, S. 252 N. 6);</w:t>
      </w:r>
    </w:p>
    <w:p>
      <w:r>
        <w:t>- die zur Anwesenheit berechtigten Personen von Verhandlungsterminen rechtzeitig zu benachrichtigen sind, jedoch keinen Anspruch auf Verschie- bung der Tagfahrt haben (vgl. HAUSER/SCHWERI/HARTMANN, a.a.O., S. 396 N. 20; TPF 2008 50; TPF 2006 318; Entscheide des Bundesstrafgerichts BB.2009.74 vom 31. August 2009; BB.2006.63 vom 20. September 2006);</w:t>
      </w:r>
    </w:p>
    <w:p>
      <w:r>
        <w:t>- es dem Beschwerdeführer überlassen bleibt, ob er die ihm eingeräumte Ge- legenheit zur Teilnahme an den Einvernahmen wahrnehmen will oder nicht;</w:t>
      </w:r>
    </w:p>
    <w:p>
      <w:r>
        <w:t>- der Verteidiger nach dem Grundsatz der effektiven bzw. effizienten Verteidi- gung die Interessen des Beschuldigten in ausreichender und wirksamer Wei- se wahrnehmen muss, es ihm daher obliegt, für eine angemessene Verteidi- gung des Beschwerdeführers anlässlich der Einvernahmen besorgt zu sein;</w:t>
      </w:r>
    </w:p>
    <w:p>
      <w:r>
        <w:t>- der Grundsatz der effizienten Verteidigung die Pflicht des Verteidigers bein- haltet, bei unlösbaren Terminkollisionen für die Terminwahrung eine Stellver- tretung zu beauftragen (TPF 2008 50), eine Pflicht, die auch für den alleine praktizierenden Verteidiger Gültigkeit hat;</w:t>
      </w:r>
    </w:p>
    <w:p>
      <w:r>
        <w:t>- es wünschbar ist, dass Einvernahmetermine vorab mit den Betroffenen abge- sprochen werden, dass je nach deren Anzahl und Funktion jedoch Prioritäten gesetzt werden müssen;</w:t>
      </w:r>
    </w:p>
    <w:p>
      <w:r>
        <w:t>- vorliegend in erster Linie sicherzustellen war, dass die einzuvernehmenden Zeugen den Termin einhalten können, jedoch nicht auf sämtliche übrigen Verfahrensbeteiligten und deren Vertreter (insgesamt mindestens zehn; siehe act. 1.4, S. 2) bei der Wahl des Termins Rücksicht zu nehmen war;</w:t>
      </w:r>
    </w:p>
    <w:p>
      <w:r>
        <w:t>- es nicht einzusehen ist, inwiefern der Wechsel in der Eigenschaft der Einzu- vernehmenden von Auskunftspersonen in Zeugen für die Vorbereitung der</w:t>
      </w:r>
    </w:p>
    <w:p>
      <w:r>
        <w:t>- 4 -</w:t>
      </w:r>
    </w:p>
    <w:p>
      <w:r>
        <w:t>Einvernahmen durch die Verteidigung einen Unterschied machen soll, ist doch der Verteidiger des Beschwerdeführers seit dem 10. April 2010 im Am- te, ist verpflichtet, das Dossier zu kennen, und muss jederzeit mit einer Vor- ladung zu Einvernahmen rechnen;</w:t>
      </w:r>
    </w:p>
    <w:p>
      <w:r>
        <w:t>- der Hinweis des Verteidigers des Beschwerdeführers auf die Aufgabe der Führung einer Einzelkanzlei bzw. die Verletzung der Handels- und Gewerbe- freiheit zum Vorneherein ins Leere stösst, wird vorliegend doch eine für den forensisch tätigen Rechtsanwalt berufsfremde Referatstätigkeit als Grund für die Terminkollision angeführt;</w:t>
      </w:r>
    </w:p>
    <w:p>
      <w:r>
        <w:t>- die Vorankündigung des Einvernahmetermins mit drei Wochen Vorlauf des- halb als rechtzeitig zu betrachten ist;</w:t>
      </w:r>
    </w:p>
    <w:p>
      <w:r>
        <w:t>- sich die Beschwerde damit sofort im Sinne von Art. 219 Abs. 1 BStP als un- begründet erweist und abzuweisen ist;</w:t>
      </w:r>
    </w:p>
    <w:p>
      <w:r>
        <w:t>- das Gesuch um aufschiebende Wirkung somit gegenstandslos wird;</w:t>
      </w:r>
    </w:p>
    <w:p>
      <w:r>
        <w:t>- bei diesem Ausgang des Verfahrens der Beschwerdeführer als unterliegende Partei die Kosten zu tragen hat (Art. 245 Abs. 1 BStP i.V.m. Art. 66 Abs. 1 BGG), wobei die Gerichtsgebühr auf Fr. 500.-- festzusetzen ist (Art. 245 Abs. 2 BStP und Art. 3 des Reglements vom 11. Februar 2004 über die Ge- richtsgebühren vor dem Bundesstrafgericht; SR 173.711.32);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