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BB.2010.70 vom 14. Februar 2011</w:t>
      </w:r>
    </w:p>
    <w:p>
      <w:r>
        <w:t>Bundesstrafgericht, 2011-02-14, DE</w:t>
      </w:r>
    </w:p>
    <w:p>
      <w:r>
        <w:rPr>
          <w:b/>
        </w:rPr>
        <w:t xml:space="preserve">Quelle: </w:t>
      </w:r>
      <w:r>
        <w:t>https://mcp.opencaselaw.ch/entscheid/bstger_BB.2010.70</w:t>
      </w:r>
    </w:p>
    <w:p>
      <w:r>
        <w:t>FR: TPF BB.2010.70 du 14 février 2011</w:t>
      </w:r>
    </w:p>
    <w:p>
      <w:r>
        <w:t>IT: TPF BB.2010.70 del 14 febbraio 2011</w:t>
      </w:r>
    </w:p>
    <w:p>
      <w:pPr>
        <w:pStyle w:val="Heading2"/>
      </w:pPr>
      <w:r>
        <w:t>Regeste</w:t>
      </w:r>
    </w:p>
    <w:p>
      <w:r>
        <w:t>Einziehungsbeschlagnahme (Art. 65 Abs. 1 BStP).</w:t>
      </w:r>
    </w:p>
    <w:p>
      <w:pPr>
        <w:pStyle w:val="Heading2"/>
      </w:pPr>
      <w:r>
        <w:t>Erwägungen</w:t>
      </w:r>
    </w:p>
    <w:p>
      <w:r>
        <w:rPr>
          <w:b/>
        </w:rPr>
        <w:t>E. 1</w:t>
      </w:r>
    </w:p>
    <w:p>
      <w:r>
        <w:t>Die Beschwerde sei gutzuheissen und die Vermögensbeschlagnahme betr. die Konten- verbindung 1, Bank D. SA in Z., sei aufzuheben.</w:t>
      </w:r>
    </w:p>
    <w:p>
      <w:r>
        <w:rPr>
          <w:b/>
        </w:rPr>
        <w:t>E. 1.1</w:t>
      </w:r>
    </w:p>
    <w:p>
      <w:r>
        <w:t>Die schweizerische Strafprozessordnung (StPO, SR 312.0) ist am 1. Janu- ar 2011 in Kraft getreten. Gemäss Art. 453 Abs. 1 StPO werden Rechtsmit- tel gegen Entscheide, die vor dem Inkrafttreten der StPO gefällt wurden, nach bisherigem Recht beurteilt. Folglich ist zur Beurteilung der vorliegend angefochtenen Verfügung noch das alte Recht anwendbar.</w:t>
      </w:r>
    </w:p>
    <w:p>
      <w:r>
        <w:t>- 3 -</w:t>
      </w:r>
    </w:p>
    <w:p>
      <w:r>
        <w:rPr>
          <w:b/>
        </w:rPr>
        <w:t>E. 1.2</w:t>
      </w:r>
    </w:p>
    <w:p>
      <w:r>
        <w:t>Gegen Amtshandlungen und wegen Säumnis der Bundesanwaltschaft ist die Beschwerde nach den Vorschriften der Art. 214 ff. BStP an die I. Be- schwerdekammer des Bundesstrafgerichts zulässig (Art. 105bis Abs. 2 BStP i. V. 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rPr>
          <w:b/>
        </w:rPr>
        <w:t>E. 1.3</w:t>
      </w:r>
    </w:p>
    <w:p>
      <w:r>
        <w:t>Als Inhaber der beschlagnahmten Vermögenswerte ist der Beschwerdefüh- rer durch die Verfügung beschwert und somit zur Beschwerdeführung legi- timiert (act. 1.6, S. 4, Ziff. 4; S. 6, Ziff. 2; Entscheide des Bundesstrafge- richts BB.2005.32 vom 29. September 2005, E. 1.3; BB.2005.11 vom 14. Juni 2005, E. 1.2; BB.2004.70 vom 11. November 2004, E. 2.1). Die angefochtene Verfügung der Beschwerdegegnerin wurde dem Beschwer- deführer von der Bank D. SA am 6. August 2010 mit Einschreiben zuge- stellt (act. 1.5). Der Beschwerdeführer will das Schreiben am 11. Au- gust 2010 bei der Post abgeholt haben (act. 1 Ziff. I. 2), was für die I. Be- schwerdekammer aus den Akten nicht ohne weiteres überprüfbar ist. Da die Beschwerde aber in materieller Hinsicht ohnehin abzuweisen sein wird (vgl. nachfolgend), ist zu Gunsten des Beschwerdeführers von der fristge- rechten Einreichung auszugehen. Auf die Beschwerde ist damit einzutre- ten.</w:t>
      </w:r>
    </w:p>
    <w:p>
      <w:r>
        <w:rPr>
          <w:b/>
        </w:rPr>
        <w:t>E. 2</w:t>
      </w:r>
    </w:p>
    <w:p>
      <w:r>
        <w:t>Aufl., Genf/Zürich/Basel 2006, N. 914 und 930; HAUSER/SCHWERI/HART- MANN, a. a. O., S. 341 N. 3).</w:t>
      </w:r>
    </w:p>
    <w:p>
      <w:r>
        <w:rPr>
          <w:b/>
        </w:rPr>
        <w:t>E. 2.1</w:t>
      </w:r>
    </w:p>
    <w:p>
      <w:r>
        <w:t>Gemäss Art. 65 Abs. 1 BStP können Gegenstände und Vermögenswerte, die voraussichtlich der Einziehung unterliegen, beschlagnahmt werden. Der Einziehung unterliegen u. a. Vermögenswerte, die durch eine Straftat er- langt worden sind oder dazu bestimmt waren, eine Straftat zu veranlassen oder zu belohnen (Art. 70 Abs. 1 StGB). Im Gegensatz zur endgültigen ma- teriellrechtlichen Einziehung stellt die Beschlagnahme lediglich eine von Bundesrechts wegen vorgeschriebene provisorische "konservatorische" prozessuale Massnahme zur vorläufigen Sicherstellung der allenfalls ein- zuziehenden Vermögenswerte dar (SCHMID, Handbuch des schweizeri- schen Strafprozessrechts, Zürich/St. Gallen 2009, N. 1115; TRECHSEL/ JEAN-RICHARD, Praxiskommentar, Zürich/St. Gallen 2008, Vor Art. 69 StGB N. 4). Sie greift dem Entscheid über die endgültige Einziehung nicht vor</w:t>
      </w:r>
    </w:p>
    <w:p>
      <w:r>
        <w:t>- 4 -</w:t>
      </w:r>
    </w:p>
    <w:p>
      <w:r>
        <w:t>(TPF 2005 84 E. 3.2.1 S. 87 m. w. H.; BAUMANN, Basler Kommentar,</w:t>
      </w:r>
    </w:p>
    <w:p>
      <w:r>
        <w:rPr>
          <w:b/>
        </w:rPr>
        <w:t>E. 2.2</w:t>
      </w:r>
    </w:p>
    <w:p>
      <w:r>
        <w:t>Der Beschwerdeführer macht zunächst geltend, dass kein hinreichender, objektiv begründeter konkreter Verdacht vorliege, wonach er in den Besitz von einem allfälligen Deliktserlös gekommen sei. Die Vermögensbeschlag- nahme sei deshalb willkürlich (act. 1).</w:t>
      </w:r>
    </w:p>
    <w:p>
      <w:r>
        <w:t>Die bisherigen Ermittlungen der Beschwerdegegnerin ergaben den drin- genden Verdacht, Vertreter der B. AG, darunter auch der Beschwerdefüh- rer, hätten verschiedene Finanzinstitute mit unwahren Angaben und ge- fälschten Unterlagen zur Vorfinanzierung von Investitionsgütern veranlasst</w:t>
      </w:r>
    </w:p>
    <w:p>
      <w:r>
        <w:t>- 5 -</w:t>
      </w:r>
    </w:p>
    <w:p>
      <w:r>
        <w:t>und diese damit betrügerisch geschädigt. Nachdem das Bundesstrafgericht mit Bezug auf den Beschwerdeführer im Haftbeschwerdeentscheid BH.2010.12 vom 1. Juli 2010 einen dringenden Tatverdacht bejahte (vgl. E. 3.2 genannten Entscheids) und das Bundesgericht diesen im Urteil 1B_237/2010 vom 5. August 2010, E. 3, seinerseits bestätigt hat (act. 5.2), kann der für eine Vermögensbeschlagnahme erforderliche hinreichende Tatverdacht als weiterhin genügend erstellt gelten. Gründe, welche zum jetzigen Zeitpunkt eine andere Beurteilung ergäben, bringt der Beschwer- deführer nicht vor. Er merkt lediglich an, es sei trotz des Urteils des Bun- desgerichts nicht erkennbar, wer als möglicher Täter für die angeblich fikti- ven Finanzierungsgeschäfte in Frage käme und ob die diesbezüglich fragli- chen 39 Geschäfte wirklich fiktiv seien. Der Beschwerdeführer verkennt dabei, dass genau dies Gegenstand der Ermittlungen ist. Dies wird von der Beschwerdegegnerin im weiteren Verlauf denn auch genauer abzuklären sein, um den zum jetzigen Zeitpunkt bestehenden Verdacht weiter zu er- härten oder aber um damit zur Entlastung des Beschwerdeführers beizu- tragen (vgl. oben, E. 2.1 sowie act. 1.6 S. 6 Ziff. 2). Laut Beschwerdegeg- nerin besteht insbesondere auch der dringende Tatverdacht, dass die durch die mutmasslich inkriminierten Handlungen über die B. AG generier- ten Mittel einerseits auf Privatkonten des Beschwerdeführers und anderer- seits direkt oder indirekt an weitere Drittfirmen, an denen der Beschwerde- führer oder ihm nahe stehende Dritte wirtschaftlich berechtigt sind, geflos- sen seien (act. 1.6 S. 6 Ziff. 2; vgl. dazu Entscheid des Bundesstrafgerichts BH.2010.12 vom 1. Juli 2010, E. 3.2 S. 6; Urteil des Bundesgerichts 1B_237/2010 vom 5. August 2010, E. 3 S. 4). Dieser Verdacht werde da- durch erhärtet, dass der Beschwerdeführer nach im Februar 2010 durchge- führten Hausdurchsuchungen Vermögenswerte veräussert und den Erlös beiseite geschafft habe (act. 5). So habe er z.B. den Verkaufserlös eines Fahrzeugs Wiesman Roadster MF3 in der Höhe von Fr. 95'000.-- auf das Treuhandkonto von Rechtsanwalt E. ausbezahlen lassen. Von ebendiesem Konto seien im Anschluss Fr. 100'000.-- an F., Neffe des Beschwerdefüh- rers, transferiert worden (act. 5.3). Auch habe der Beschwerdeführer den Verkaufserlös eines Segelbootes Hallberg-Rassy 37 in der Höhe von EUR 215'000.-- nicht der Inhaberin G. AG, sondern wiederum seinem Nef- fen zukommen lassen (act. 5.4). Weiter seien Fr. 20'000.-- aus der Rück- zahlung eines Bootsplatzes in Y. nicht der G. AG, auf welche der Platz ge- löst war, zugekommen, sondern auf das Konto des Beschwerdeführers bei der Bank D. SA geflossen (act. 5.5). Der Beschwerdeführer merkt hierzu an, diese Veräusserungen seien infolge Fehlens von Verfügungsbeschrän- kungen und –verboten völlig konform und legitim erfolgt (act. 7). Der Ver- dacht, dass es sich bei diesen Geldbeträgen um durch die mutmasslich strafbaren Handlungen generierte Mittel handelt, wird dadurch jedoch nicht</w:t>
      </w:r>
    </w:p>
    <w:p>
      <w:r>
        <w:t>- 6 -</w:t>
      </w:r>
    </w:p>
    <w:p>
      <w:r>
        <w:t>entkräftet. Ebenso wenig vermag das Argument des Beschwerdeführers, wonach die G. AG bei der Bank H. AG als wirtschaftlich Berechtigte des Verkaufserlöses für das Segelboot deklariert worden sei, den bestehenden Tatverdacht zu schmälern. Wie bereits ausgeführt, besteht der Verdacht der Beschwerdegegnerin gerade darin, dass aus den mutmasslich delikti- schen Handlungen generierte Mittel nicht nur auf das Privatkonto des Be- schwerdeführers geflossen seien, sondern direkt oder indirekt auch an wei- tere Drittfirmen, an denen der Beschwerdeführer wirtschaftlich berechtigt ist, was auf die G. AG zutrifft.</w:t>
      </w:r>
    </w:p>
    <w:p>
      <w:r>
        <w:t>Schliesslich vermag der Beschwerdeführer nichts zu seinen Gunsten abzu- leiten, wenn er vorbringt, ihm sei anlässlich diverser Einvernahmen keine einzige Frage bezüglich der angeblich fingierten 39 Geschäfte gestellt wor- den; auch habe die Beschwerdegegnerin die angebliche Deliktssumme zu Beginn des Verfahrens mit EUR 230 Mio. beziffert und spreche nunmehr lediglich von EUR 140 Mio. (act. 7). Diese Rügen betreffen die Untersu- chungsführung, wozu auch die Einvernahmetechnik gehört. Diese liegt im alleinigen Ermessen der Beschwerdegegnerin als untersuchende Behörde, weshalb die Rügen unbehelflich sind.</w:t>
      </w:r>
    </w:p>
    <w:p>
      <w:r>
        <w:t>Nach dem Gesagten ist die Beschlagnahme mit Bezug auf die Anforderun- gen an den Tatverdacht, auch angesichts des noch frühen Verfahrenssta- diums – das Verfahren wurde erst am 8. Juni 2010 auf den Beschwerde- führer ausgedehnt – als zulässig zu erachten.</w:t>
      </w:r>
    </w:p>
    <w:p>
      <w:r>
        <w:rPr>
          <w:b/>
        </w:rPr>
        <w:t>E. 2.3</w:t>
      </w:r>
    </w:p>
    <w:p>
      <w:r>
        <w:t>Des Weitern bringt der Beschwerdeführer vor, die Vermögensbeschlag- nahme sei unverhältnismässig. Dies begründet er damit, dass er nicht er- werbstätig und seine Ehefrau seit der Eröffnung der Strafuntersuchung oh- ne Stelle und somit ohne Einkommen sei. Durch die Vermögensbeschlag- nahme sei es ihnen deswegen unmöglich, ihre finanziellen Verpflichtungen einzuhalten (act. 1). Dieser Auffassung kann – wie nachfolgend zu zeigen ist – nicht gefolgt werden.</w:t>
      </w:r>
    </w:p>
    <w:p>
      <w:r>
        <w:t>Mit dem Einziehungsrecht wird dem Grundsatz „Straftaten sollen sich nicht lohnen“ Nachachtung verschafft. Nach Art. 70 Abs. 1 StGB verfügt das Ge- richt die Einziehung von Vermögenswerten, die durch eine Straftat erlangt worden sind oder dazu bestimmt waren, eine Straftat zu veranlassen oder zu belohnen, sofern sie nicht dem Verletzten zur Wiederherstellung des rechtmässigen Zustandes ausgehändigt werden. Der grundsätzlich zwin- gende Charakter der Vermögenseinziehung nach Art. 70 StGB kommt dar- in zum Ausdruck, dass ihr die damit bewirkte Mittellosigkeit des Betroffenen nicht entgegengehalten werden kann (SCHMID, Kommentar Einziehung, or-</w:t>
      </w:r>
    </w:p>
    <w:p>
      <w:r>
        <w:t>- 7 -</w:t>
      </w:r>
    </w:p>
    <w:p>
      <w:r>
        <w:t>ganisiertes Verbrechen und Geldwäscherei, Band I, 2. Aufl., Zürich 2007, Art. 70 – 72 StGB N. 11a; OBERHOLZER, Grundzüge des Strafprozess- rechts, 2. Aufl., Bern 2005, N. 1148). Sind die der Einziehung unterliegen- den Vermögenswerte nicht mehr vorhanden, so erkennt das Gericht auf ei- ne Ersatzforderung des Staates in gleicher Höhe (Art. 71 StGB). Diesbe- züglich wird in der Lehre – teils ohne nähere Begründung – die Auffassung vertreten, die Beschlagnahme zur Durchsetzung einer Ersatzforderung gemäss Art. 71 StGB habe die Schranken von Art. 92 SchKG zu beachten (vgl. SCHMID, a. a. O., N. 120; OBERHOLZER, a. a. O., N. 1167). Ob diese Auffassung richtig ist, kann hier jedoch offen bleiben. Selbst wenn man ihr nämlich folgen wollte, ist damit lediglich gesagt, dass mit dieser Einzie- hungsbeschlagnahme keine Kompetenzstücke im betreibungsrechtlichen Sinne gepfändet werden dürfen. Indessen ist in Lehre und Rechtsprechung keine Rede davon, dass dem Beschwerdeführer im Rahmen der Vermö- gensbeschlagnahme das Existenzminimum im Sinne eines regelmässigen Einkommens (analog zu Art. 93 SchKG) zu belassen ist (vgl. zum Ganzen auch Entscheid des Bundesstrafgerichts BB.2005.72 vom 19. Okto- ber 2005, E. 5.2 m. w. H.). Vielmehr hat das Bundesgericht in seinem Urteil 1S.16/2005 vom 7. Juni 2005, E. 7, darauf hingewiesen, dass einer sich aufgrund einer Beschlagnahme in einer Notlage befindenden Person bei Vorliegen der entsprechenden Voraussetzungen Hilfe verfassungsmässig garantiert ist (Art. 12 BV; vgl. auch Entscheid des Bundesstrafgerichts BB.2005.30 vom 14. September 2005, E. 2.6).</w:t>
      </w:r>
    </w:p>
    <w:p>
      <w:r>
        <w:t>Die Ausführungen des Beschwerdeführers stehen nach dem Gesagten ei- ner Beschlagnahme zur Sicherung einer Einziehung nach Art. 70 bzw. ei- ner Ersatzforderung nach Art. 71 StGB nicht entgegen. Dass Kompetenz- stücke im Sinne von Art. 92 SchKG gepfändet worden seien, wird nicht be- hauptet und ist auch nicht ersichtlich. Falls der Beschwerdeführer sein Existenzminimum nicht gewährleistet sieht, ist es ihm unbenommen, bei den zuständigen Sozialhilfestellen ein entsprechendes Gesuch einzurei- chen (vgl. Entscheid des Bundesstrafgerichts BB.2006.41 vom 4. Okto- ber 2006, E. 4.4).</w:t>
      </w:r>
    </w:p>
    <w:p>
      <w:r>
        <w:rPr>
          <w:b/>
        </w:rPr>
        <w:t>E. 2.4</w:t>
      </w:r>
    </w:p>
    <w:p>
      <w:r>
        <w:t>Die Beschlagnahme liegt sodann im öffentlichen Interesse. Sie ist zudem für den angestrebten Zweck – Sicherstellung der allenfalls der Einziehung unterliegenden Vermögenswerte gemäss Art. 70 StGB bzw. Sicherstellung einer Ersatzforderung gemäss Art. 71 StGB – geeignet, erforderlich und auch notwendig. Ein anderes, ebenso geeignetes, aber milderes Mittel ist nicht ersichtlich und wird vom Beschwerdeführer auch nicht vorgebracht. Somit entspricht die Beschlagnahme den gesetzlichen Anforderungen.</w:t>
      </w:r>
    </w:p>
    <w:p>
      <w:r>
        <w:t>- 8 -</w:t>
      </w:r>
    </w:p>
    <w:p>
      <w:r>
        <w:rPr>
          <w:b/>
        </w:rPr>
        <w:t>E. 3.1</w:t>
      </w:r>
    </w:p>
    <w:p>
      <w:r>
        <w:t>Der Beschwerdeführer bringt schliesslich vor, die Ausführungen der Be- schwerdegegnerin widersprächen der Unschuldsvermutung, da diese be- reits von einer Deliktssumme spreche, während noch keineswegs festste- he, dass sich der Beschwerdeführer überhaupt eines Deliktes schuldig ge- macht habe (act. 7).</w:t>
      </w:r>
    </w:p>
    <w:p>
      <w:r>
        <w:rPr>
          <w:b/>
        </w:rPr>
        <w:t>E. 3.2</w:t>
      </w:r>
    </w:p>
    <w:p>
      <w:r>
        <w:t>Gemäss Art. 6 Ziff. 2 EMRK gilt jede Person, die einer Straftat angeklagt ist, bis zum gesetzlichen Beweis ihrer Schuld als unschuldig. Zwangs- massnahmen wie Entscheidungen zur Beschlagnahme von Vermögens- werten oder die Inhaftnahme von Personen basieren jedoch naturgemäss auf einem begründeten Verdacht. Solange Feststellungen der Täterschaft oder Tatbeteiligung erkennen lassen, dass sie auf Verdachtsgründen beru- hen, verletzen sie die Unschuldsvermutung nicht (FROWEIN/PEUKERT, Eu- ropäische Menschenrechtskonvention, Kommentar, 3. Aufl., Kehl am Rhein 2009, Art. 6 N. 275). Aus vorliegend angefochtener Verfügung ergibt sich ohne Weiteres, dass sich die Beschlagnahme auf einen Tatverdacht und nicht eine Schuldfeststellung stützt. Art. 6 Ziff. 2 EMRK ist demnach nicht verletzt, womit sich die Beschwerde auch in diesem Punkt als unbe- gründet erweist.</w:t>
      </w:r>
    </w:p>
    <w:p>
      <w:r>
        <w:rPr>
          <w:b/>
        </w:rPr>
        <w:t>E. 4</w:t>
      </w:r>
    </w:p>
    <w:p>
      <w:r>
        <w:t>Bei diesem Ausgang des Verfahrens hat der Beschwerdeführer die Ge- richtskosten zu tragen (Art. 245 Abs. 1 BStP i. V. m. Art. 66 Abs. 1 BGG). Die Gerichtsgebühr wird auf CHF 1’500.-- festgesetzt (Art. 73 StBOG i. V. m. Art. 8 sowie Art. 22 Abs. 3 des Reglements des Bundesstrafgerichts vom 31. August 2010 über die Kosten, Gebühren und Entschädigungen in Bundesstrafverfahren [BStKR; SR 173.713.162]), unter Anrechung des ge- leisteten Kostenvorschusses von CHF 1'500.--.</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