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BB.2010.66 vom 3. Dezember 2010</w:t>
      </w:r>
    </w:p>
    <w:p>
      <w:r>
        <w:t>Bundesstrafgericht, 2010-12-03, DE</w:t>
      </w:r>
    </w:p>
    <w:p>
      <w:r>
        <w:rPr>
          <w:b/>
        </w:rPr>
        <w:t xml:space="preserve">Quelle: </w:t>
      </w:r>
      <w:r>
        <w:t>https://mcp.opencaselaw.ch/entscheid/bstger_BB.2010.66</w:t>
      </w:r>
    </w:p>
    <w:p>
      <w:r>
        <w:t>FR: TPF BB.2010.66 du 3 décembre 2010</w:t>
      </w:r>
    </w:p>
    <w:p>
      <w:r>
        <w:t>IT: TPF BB.2010.66 del 3 dicembre 2010</w:t>
      </w:r>
    </w:p>
    <w:p>
      <w:pPr>
        <w:pStyle w:val="Heading2"/>
      </w:pPr>
      <w:r>
        <w:t>Regeste</w:t>
      </w:r>
    </w:p>
    <w:p>
      <w:r>
        <w:t>Einstellung nach Ermittlungsverfahren (Art. 106 Abs. 1 BStP).</w:t>
      </w:r>
    </w:p>
    <w:p>
      <w:pPr>
        <w:pStyle w:val="Heading2"/>
      </w:pPr>
      <w:r>
        <w:t>Erwägungen</w:t>
      </w:r>
    </w:p>
    <w:p>
      <w:r>
        <w:rPr>
          <w:b/>
        </w:rPr>
        <w:t>E. 1.1</w:t>
      </w:r>
    </w:p>
    <w:p>
      <w:r>
        <w:t>Der Geschädigte und die anspruchsberechtigten Personen nach Art. 1 des Bundesgesetzes vom 23. März 2007 über die Hilfe an Opfer von Straftaten (Opferhilfegesetz, OHG; SR 312.5) können die Einstellung der Ermittlungen innert zehn Tagen mit Beschwerde bei der I. Beschwerdekammer des Bundesstrafgerichts anfechten (Art. 106 Abs. 1bis BStP i.V.m. Art. 28 Abs. 1 lit. a SGG und Art. 9 Abs. 2 des Reglements vom 20. Juni 2006 für das Bundesstrafgericht; SR 173.710).</w:t>
      </w:r>
    </w:p>
    <w:p>
      <w:r>
        <w:t>Der Geschädigte ist Partei im Bundesstrafverfahren, wenn er privatrechtli- che Ansprüche aus der strafbaren Handlung geltend macht (Art. 34 BStP). Als Geschädigter gilt diejenige Person, welche durch eine strafbare Hand- lung einen unmittelbaren Nachteil in ihren rechtlich geschützten Interessen erlitten hat bzw. welcher – im Falle einer versuchten strafbaren Handlung – ein entsprechender Nachteil drohte und welche die Verurteilung des Be- schuldigten auf Ersatz des ihr hieraus entstandenen Schadens verlangt (TPF 2009 173 E. 2.1; Entscheide des Bundesstrafgerichts BB.2007.62 vom 19. Dezember 2007, E. 2.1; BB.2007.31 vom 6. August 2007, E. 2; BB.2006.128 vom 31. Januar 2007, E. 3.1; BB.2005.51 vom 12. Dezem- ber 2005, E. 3.1; PIQUEREZ, Traité de procédure pénale suisse, 2. Aufl., Genf/Zürich/Basel 2006, N. 508, 1021, 1026; HAUSER/SCHWERI/HARTMANN, Schweizerisches Strafprozessrecht, 6. Aufl., Basel 2005, S. 141/142 N. 1-3, S. 146 N. 12). Um zur Erhebung einer Beschwerde im Rahmen eines Bun- desstrafverfahrens berechtigt zu sein, muss sich der Geschädigte als Zivil- partei konstituieren, bevor die Einstellung des Strafverfahrens verfügt wird (TPF 2007 42 E. 1.3; vgl. in diesem Sinne auch den Entscheid des Bun- desstrafgerichts SK 011/04 vom 13. Dezember 2004, lit. B, wonach der Verzicht auf Geltendmachung privatrechtlicher Ansprüche ohne Weiteres den Verlust der Parteistellung im Bundesstrafverfahren nach sich zieht).</w:t>
      </w:r>
    </w:p>
    <w:p>
      <w:r>
        <w:t>- 4 -</w:t>
      </w:r>
    </w:p>
    <w:p>
      <w:r>
        <w:rPr>
          <w:b/>
        </w:rPr>
        <w:t>E. 1.2</w:t>
      </w:r>
    </w:p>
    <w:p>
      <w:r>
        <w:t>Der Beschwerdeführer bringt vor, dass ihm hinsichtlich der Tatbestände der falschen Anschuldigung (Art. 303 StGB) sowie des falschen Zeugnisses (Art. 307 StGB) Geschädigtenstellung zukomme und er sich bereits als Ge- schädigter konstituiert habe (act. 1, S. 2, N. 2). Der Beschwerdeführer, wel- cher von der Anschuldigung bzw. vom gegen ihn geführten Hauptverfahren betroffen ist und dessen Individualinteressen daher vom Schutz der Art. 303 und 307 StGB umfasst werden (vgl. DELNON/RÜDY, Basler Kom- mentar, 2. Aufl., Basel 2007, Art. 303 StGB N. 7 und Art. 307 StGB N. 5), wird aufgrund der vom Beschwerdegegner 2 zu seinen Ungunsten ge- machten, mutmasslich falschen Aussagen unmittelbar benachteiligt (vgl. auch HAUSER/SCHWERI/HARTMANN, a.a.O., S. 142 N. 1). Der Argumentation der Beschwerdegegnerin 1, der Beschwerdeführer habe kein aktuelles Rechtsschutzinteresse mehr am Ausgang des vorliegenden Verfahrens, da der Sachverhaltskomplex bezüglich des Verbleibs der Differenzbeträge nicht Gegenstand der gegen ihn eingereichten Anklage sei (act. 7.1, S. 1/2), ist das Schreiben der Beschwerdegegnerin 1 vom 30. Juli 2010 entgegenzuhalten, wonach der besagte Sachverhalt „bezüglich des Ent- scheides über den Umfang der Anklageerhebung“ nach wie vor von Bedeu- tung sei und ein Antrag an die Strafkammer des Bundesstrafgerichts auf Beizug der dazugehörigen Akten vorbehalten bleibe (Akten BA, Ordner 2, pag. 9 1 001-002). Im Weiteren hat sich der Beschwerdeführer vor der Ein- stellung des Strafverfahrens gegenüber dem beschuldigten Beschwerde- gegner 2 dem Grundsatze nach als Geschädigter konstituiert (Akten BA, Ordner 1, pag. 1 2 002, Ordner 2, pag. 5 2 001).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