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BB.2010.61 vom 26. Juli 2010</w:t>
      </w:r>
    </w:p>
    <w:p>
      <w:r>
        <w:t>Bundesstrafgericht, 2010-07-26, DE</w:t>
      </w:r>
    </w:p>
    <w:p>
      <w:r>
        <w:rPr>
          <w:b/>
        </w:rPr>
        <w:t xml:space="preserve">Quelle: </w:t>
      </w:r>
      <w:r>
        <w:t>https://mcp.opencaselaw.ch/entscheid/bstger_BB.2010.61</w:t>
      </w:r>
    </w:p>
    <w:p>
      <w:r>
        <w:t>FR: TPF BB.2010.61 du 26 juillet 2010</w:t>
      </w:r>
    </w:p>
    <w:p>
      <w:r>
        <w:t>IT: TPF BB.2010.61 del 26 luglio 2010</w:t>
      </w:r>
    </w:p>
    <w:p>
      <w:pPr>
        <w:pStyle w:val="Heading2"/>
      </w:pPr>
      <w:r>
        <w:t>Regeste</w:t>
      </w:r>
    </w:p>
    <w:p>
      <w:r>
        <w:t>Säumnis (Art. 105bis Abs. 2 BStP).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Juli 2010 an die I. Beschwerdekammer des Bundesstrafgerichts ge- langte und beantragt, die Bundesanwaltschaft anzuweisen, in der von ihr</w:t>
      </w:r>
    </w:p>
    <w:p>
      <w:r>
        <w:t>- 3 -</w:t>
      </w:r>
    </w:p>
    <w:p>
      <w:r>
        <w:t>zur Anzeige gebrachten Sache ein Ermittlungsverfahren einzuleiten (act. 1);</w:t>
      </w:r>
    </w:p>
    <w:p>
      <w:r>
        <w:t>- nur das Opfer gemäss Art. 1 Abs. 1 des Bundesgesetzes vom 23. März 2007 über die Hilfe an Opfer von Straftaten (Opferhilfegesetz, OHG; SR 312.5) befugt ist, die Verfügung der Bundesanwaltschaft, mit welcher diese einer Anzeige keine Folge gibt, innert zehn Tagen mit Beschwerde bei der I. Beschwerdekammer des Bundesstrafgerichts anzufechten (Art. 100 Abs. 5 BStP i.V.m. Art. 28 Abs. 1 lit. a SGG und Art. 9 Abs. 2 des Reglements vom 20. Juni 2006 für das Bundesstrafgericht; SR 173.710);</w:t>
      </w:r>
    </w:p>
    <w:p>
      <w:r>
        <w:t>- die Beschwerdeführerin zwar formell eine Säumnis rügt, materiell jedoch das Schreiben der Beschwerdegegnerin vom 30. Juni 2010 und somit eine Amtshandlung anficht;</w:t>
      </w:r>
    </w:p>
    <w:p>
      <w:r>
        <w:t>- in diesem Schreiben die Beschwerdegegnerin lediglich auf ihre früheren Schreiben verweist, mit welchen sie bereits mitteilte, dass sie der Anzeige der Beschwerdeführerin keine Folge gebe;</w:t>
      </w:r>
    </w:p>
    <w:p>
      <w:r>
        <w:t>- es sich offensichtlich weder bei der Beschwerdeführerin noch bei deren Geschäftsführer als natürlicher Person um ein Opfer gemäss Art. 1 Abs. 1 OHG handelt, weshalb diese nicht zur Beschwerde legitimiert sind, womit die Frage nach der vorliegend zweifelhaften Fristwahrung ohne Weiteres offen gelassen werden kann;</w:t>
      </w:r>
    </w:p>
    <w:p>
      <w:r>
        <w:t>- sich die Beschwerde nach dem Gesagten als sofort unzulässig erweist, weshalb auf einen weiteren Schriftenwechsel zu verzichten ist (Art. 219 Abs. 1 BStP e contrario);</w:t>
      </w:r>
    </w:p>
    <w:p>
      <w:r>
        <w:t>- bei diesem Ausgang des Verfahrens die Beschwerdeführerin die Gerichts- kosten zu tragen hat (Art. 245 Abs. 1 BStP i.V.m. Art. 66 Abs. 1 BGG), wo- bei die Gerichtsgebühr auf Fr. 200.-- festgesetzt wird (Art. 245 Abs. 2 BStP und Art. 3 des Reglements vom 11. Februar 2004 über die Gerichtsgebüh- ren vor dem Bundesstrafgericht;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