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BB.2010.55 vom 21. Juli 2010</w:t>
      </w:r>
    </w:p>
    <w:p>
      <w:r>
        <w:t>Bundesstrafgericht, 2010-07-21, FR</w:t>
      </w:r>
    </w:p>
    <w:p>
      <w:r>
        <w:rPr>
          <w:b/>
        </w:rPr>
        <w:t xml:space="preserve">Quelle: </w:t>
      </w:r>
      <w:r>
        <w:t>https://mcp.opencaselaw.ch/entscheid/bstger_BB.2010.55</w:t>
      </w:r>
    </w:p>
    <w:p>
      <w:r>
        <w:t>FR: TPF BB.2010.55 du 21 juillet 2010</w:t>
      </w:r>
    </w:p>
    <w:p>
      <w:r>
        <w:t>IT: TPF BB.2010.55 del 21 luglio 2010</w:t>
      </w:r>
    </w:p>
    <w:p>
      <w:pPr>
        <w:pStyle w:val="Heading2"/>
      </w:pPr>
      <w:r>
        <w:t>Regeste</w:t>
      </w:r>
    </w:p>
    <w:p>
      <w:r>
        <w:t>Séquestre (art. 65 PPF).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 sans objet, la procédure est rayée du rôle.</w:t>
      </w:r>
    </w:p>
    <w:p>
      <w:r>
        <w:rPr>
          <w:b/>
        </w:rPr>
        <w:t>E. 2</w:t>
      </w:r>
    </w:p>
    <w:p>
      <w:r>
        <w:t>Il n’est pas perçu de frais.</w:t>
      </w:r>
    </w:p>
    <w:p>
      <w:r>
        <w:rPr>
          <w:b/>
        </w:rPr>
        <w:t>E. 3</w:t>
      </w:r>
    </w:p>
    <w:p>
      <w:r>
        <w:t>Une indemnité de Fr. 1'000.-- (TVA comprise) est allouée à la plaignante à titre de dépens, à charge du Ministère public de la Confédération.</w:t>
      </w:r>
    </w:p>
    <w:p>
      <w:r>
        <w:t>Bellinzone, le 21 juillet 2010</w:t>
      </w:r>
    </w:p>
    <w:p>
      <w:r>
        <w:t>Au nom de la Ire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 Cédric Aguet, avocat - Ministère public de la Confédération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