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BB.2010.46 vom 15. Juni 2010</w:t>
      </w:r>
    </w:p>
    <w:p>
      <w:r>
        <w:t>Bundesstrafgericht, 2010-06-15, DE</w:t>
      </w:r>
    </w:p>
    <w:p>
      <w:r>
        <w:rPr>
          <w:b/>
        </w:rPr>
        <w:t xml:space="preserve">Quelle: </w:t>
      </w:r>
      <w:r>
        <w:t>https://mcp.opencaselaw.ch/entscheid/bstger_BB.2010.46</w:t>
      </w:r>
    </w:p>
    <w:p>
      <w:r>
        <w:t>FR: TPF BB.2010.46 du 15 juin 2010</w:t>
      </w:r>
    </w:p>
    <w:p>
      <w:r>
        <w:t>IT: TPF BB.2010.46 del 15 giugno 2010</w:t>
      </w:r>
    </w:p>
    <w:p>
      <w:pPr>
        <w:pStyle w:val="Heading2"/>
      </w:pPr>
      <w:r>
        <w:t>Regeste</w:t>
      </w:r>
    </w:p>
    <w:p>
      <w:r>
        <w:t>Hausdurchsuchung (Art. 67 BStP).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November 2005, E. 3.1);</w:t>
      </w:r>
    </w:p>
    <w:p>
      <w:r>
        <w:t>- sich die Beschwerde daher als sofort unzulässig erweist und auf die Einho- lung weiterer Stellungnahmen verzichtet wird (Art. 219 Abs. 1 BStP e contrario);</w:t>
      </w:r>
    </w:p>
    <w:p>
      <w:r>
        <w:t>- bei diesem Ausgang des Verfahrens die Beschwerdeführerin die Gerichts- kosten zu tragen hat (Art. 245 Abs. 1 BStP i.V.m. Art. 66 Abs. 1 BGG);</w:t>
      </w:r>
    </w:p>
    <w:p>
      <w:r>
        <w:t>- die Gerichtsgebühr auf Fr. 200.-- festgesetzt wird (Art. 245 Abs. 2 BStP und Art. 3 des Reglements vom 11. 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