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BB.2010.27 vom 15. Juni 2010</w:t>
      </w:r>
    </w:p>
    <w:p>
      <w:r>
        <w:t>Bundesstrafgericht, 2010-06-15, FR</w:t>
      </w:r>
    </w:p>
    <w:p>
      <w:r>
        <w:rPr>
          <w:b/>
        </w:rPr>
        <w:t xml:space="preserve">Quelle: </w:t>
      </w:r>
      <w:r>
        <w:t>https://mcp.opencaselaw.ch/entscheid/bstger_BB.2010.27</w:t>
      </w:r>
    </w:p>
    <w:p>
      <w:r>
        <w:t>FR: TPF BB.2010.27 du 15 juin 2010</w:t>
      </w:r>
    </w:p>
    <w:p>
      <w:r>
        <w:t>IT: TPF BB.2010.27 del 15 giugno 2010</w:t>
      </w:r>
    </w:p>
    <w:p>
      <w:pPr>
        <w:pStyle w:val="Heading2"/>
      </w:pPr>
      <w:r>
        <w:t>Regeste</w:t>
      </w:r>
    </w:p>
    <w:p>
      <w:r>
        <w:t>Décision de ne pas donner suite à la dénonciation (art. 100 al. 3 PPF). Récusation du procureur fédéral (art. 99 al. 2 PPF en lien avec l'art. 34 ss LTF et art. 28 al. 1 let. c LTPF).</w:t>
      </w:r>
    </w:p>
    <w:p>
      <w:pPr>
        <w:pStyle w:val="Heading2"/>
      </w:pPr>
      <w:r>
        <w:t>Erwägungen</w:t>
      </w:r>
    </w:p>
    <w:p>
      <w:r>
        <w:rPr>
          <w:b/>
        </w:rPr>
        <w:t>E. 1</w:t>
      </w:r>
    </w:p>
    <w:p>
      <w:r>
        <w:t>Sur le plan fédéral, l’action pénale est engagée par le MPC, auquel toute plainte ou dénonciation doit être adressée. S’il estime qu’il n’y a pas lieu de donner suite, le MPC en informe le dénonciateur ou le plaignant, de même que, si elle est connue, la personne visée par la dénonciation ou la plainte (art. 100 al. 1 à 4 PPF). A teneur de l’art. 100 al. 5 PPF, seule la victime au sens de l’art. 2 de la loi fédérale sur l’aide aux victimes d’infraction (LAVI, RS 312.5) a qualité pour recourir, dans les dix jours, contre la décision par laquelle le MPC refuse d’engager l’action pénale (arrêts du Tribunal pénal fédéral BB.2010.13 du 23 mars 2010, p. 2; BB.2008.57 du 11 août 2008, p. 3; BB.2007.3 du 2 février 2007, consid. 1.1 et la jurisprudence citée). La procédure de recours contre une décision du MPC refusant d’emblée de suivre à la plainte ou à la dénonciation dont il est saisi est réglée exhausti- vement par l’art. 100 PPF, à l’exclusion des art. 105bis al. 2 ou 106 al. 1bis PPF (ATF 129 IV 197 consid. 1.5 p. 200; arrêt du Tribunal fédéral 8G 75/2003 du 5 septembre 2003, consid. 1.1., également publié in: SJ 2004 I 229; contra note p. 232 de la SJ 2004 précitée). Dans une jurisprudence antérieure (ATF 128 IV 223), le Tribunal fédéral avait, tout en jugeant que la loi n’ouvrait pas la voie du recours au dénonciateur en tant que tel, laissé ouverte la question de savoir si le dénonciateur qui est en même temps un lésé direct pourrait avoir qualité pour recourir en vertu de l’art. 105bis al. 2 PPF du fait du préjudice illégitime que lui ferait subir la décision du MPC de ne pas donner suite à sa dénonciation. Dans sa jurisprudence la plus ré- cente, citée plus haut, il a néanmoins tranché cette question par la néga- tive, considérant, en se fondant sur l’intention du législateur, que l’art. 105bis al. 2 PPF ne se rapporte qu’à la période qui suit l’ouverture d’une enquête en vertu de l’art. 101 al. 1 PPF et non à celle qui la précède. C’est ainsi qu’en procédure fédérale la qualité pour recourir contre une décision du MPC de ne pas suivre à l’action pénale est différente selon les stades de la procédure: si le refus intervient d’emblée, seule la victime LAVI a qualité pour recourir (art. 100 al. 5 PPF), alors que, si la même décision est prise à l’issue de l’enquête préliminaire (art. 106 al. 1bis PPF) ou encore à la fin de l’instruction préparatoire (art. 120 al. 4 PPF), cette voie de recours est ou- verte à tout lésé. La décision contestée ayant été prise d’entrée de cause, seule une victime au sens de la LAVI aurait dès lors qualité pour s’en plaindre (arrêt du Tribunal pénal fédéral BB.2004.21 du 12 juillet 2004, consid. 1, publié au TPF 2004 21).</w:t>
      </w:r>
    </w:p>
    <w:p>
      <w:r>
        <w:t>Est une victime au sens de l’art. 2 al. 1 LAVI toute personne qui a subi, du fait d’une infraction, une atteinte directe à son intégrité corporelle, sexuelle</w:t>
      </w:r>
    </w:p>
    <w:p>
      <w:r>
        <w:t>- 5 -</w:t>
      </w:r>
    </w:p>
    <w:p>
      <w:r>
        <w:t>ou psychique. Cette définition restrictive exclut d’emblée qu’une personne morale puisse se prévaloir de cette qualité. Celui qui n’est atteint que dans ses intérêts financiers ne peut, de plus, pas se prévaloir de la protection spéciale accordée par la LAVI (ATF 126 IV 42).</w:t>
      </w:r>
    </w:p>
    <w:p>
      <w:r>
        <w:rPr>
          <w:b/>
        </w:rPr>
        <w:t>E. 2</w:t>
      </w:r>
    </w:p>
    <w:p>
      <w:r>
        <w:t>Nonobstant leur connaissance de cette jurisprudence, A. et B. prétendent que leur qualité de plaignant est donnée compte tenu du fait que «au vu de la teneur de la décision querellée, violant les droits de parties et l’art. 6 CEDH, un contrôle judiciaire s’impose et motive la présente plainte» (Mé- moire de recours, p. 8, en haut). Ils font ici référence à leur droit à voir tran- chée la question de leur qualité de partie civile et de victime, ainsi que ceux d’accès au dossier et à obtenir une décision motivée (Mémoire de recours, p. 7, 3ème §).</w:t>
      </w:r>
    </w:p>
    <w:p>
      <w:r>
        <w:t>La procédure n’ayant pas été ouverte (art. 101 al. 1 PPF a contrario), elle ne peut avoir de parties, et ainsi la qualité de partie civile n’avait pas à être tranchée en l’état de la cause. Le défaut de qualité de partie emporte ipso iure l’inexistence d’un droit d’accès au dossier. Par ailleurs, l’information sur le refus de suivre adressée au dénonciateur n’a pas à être motivée (ar- rêt du Tribunal pénal fédéral BB.2004.63 du 22 février 2005, consid. 1). En- fin, contrairement à l’avis des plaignants, il est possible de savoir qu’aucune enquête n’a pas été ouverte, puisque le refus de suivre en est la conséquence légale immédiate (art. 100 al. 3 PPF). Dès lors, aucun droit de A. et B. n’a été violé qui imposerait de revenir sur la jurisprudence cons- tante rappelée au premier considérant, et d’entrer en matière sur le présent recours. La qualité de victime ne pouvant par ailleurs manifestement pas leur être reconnue, la voie de la plainte ne leur est pas ouverte.</w:t>
      </w:r>
    </w:p>
    <w:p>
      <w:r>
        <w:rPr>
          <w:b/>
        </w:rPr>
        <w:t>E. 3</w:t>
      </w:r>
    </w:p>
    <w:p>
      <w:r>
        <w:t>S’agissant enfin de la conclusion en désignation d’un magistrat indépen- dant pour mener les investigations, elle est devenue sans objet. En effet, l’irrecevabilité de la présente plainte confirme le refus de suivre et d’ouvrir une enquête dans la procédure SV.10.0014, qui rend superflue la remise en question du magistrat amené à la superviser. Pour le reste, à savoir la procédure SV.10.0061, la Cour de céans n’en est pas saisie.</w:t>
      </w:r>
    </w:p>
    <w:p>
      <w:r>
        <w:rPr>
          <w:b/>
        </w:rPr>
        <w:t>E. 4</w:t>
      </w:r>
    </w:p>
    <w:p>
      <w:r>
        <w:t>Cela étant, la Cour déplore la manière par laquelle la plainte et ses com- pléments sont traités par le MPC. Tout d’abord, la disjonction de la procé- dure en deux dossiers séparés n’a aucunement été argumentée par le MPC et la Cour n’y voit pas de justification. En effet, l’essence des faits dé- crits dans la plainte feront nécessairement l’objet d’une décision de non-</w:t>
      </w:r>
    </w:p>
    <w:p>
      <w:r>
        <w:t>- 6 -</w:t>
      </w:r>
    </w:p>
    <w:p>
      <w:r>
        <w:t>lieu (art. 120 al. 1 PPF) ou d’une mise en accusation (art. 125 PPF), en tant que le complément du 5 mars 2010 ne peut être compris sans eux. Ainsi, la disjonction opérée n’aura pas d’incidence sur le champ des faits sur les- quels il y aura enquête et son opportunité paraît nulle. Secondement, il n’est pas admissible que le MPC se contente d’informer que le complément de plainte fera l’objet d’une ouverture d’enquête de police judiciaire pour violation du secret de fonction (courrier du MPC du 21 avril 2010, act. 1.9), sans donner aucune indication sur l’horizon temporelle de cette ouverture. Le MPC ayant pris le parti d’ouvrir une enquête, rien ne justifie que cette décision ne fût rédigée et notifiée sans délai aux parties afin que la procé- dure ne prenne aucun retard. Dans le cadre de celle-ci, la question du ma- gistrat en charge, de même que celles relatives à la qualité de partie civile et à l’accès aux dossiers de A. et B., auront à être tranchées. Ainsi les droits dont A. et B. prétendent être titulaires dans la procédure SV.10.0014, dussent-ils avoir jamais été, sont pleinement sauvegardés.</w:t>
      </w:r>
    </w:p>
    <w:p>
      <w:r>
        <w:rPr>
          <w:b/>
        </w:rPr>
        <w:t>E. 5</w:t>
      </w:r>
    </w:p>
    <w:p>
      <w:r>
        <w:t>Selon l’art. 66 al. 1 LTF (applicable par renvoi de l’art. 245 al. 1 PPF), les parties qui succombent sont tenues au paiement des frais. Ceux-ci se limi- tent en l’espèce à un émolument, qui, en application de l’art. 3 du règle- ment du 1er février 2004 fixant les émoluments judiciaires perçus par le Tribunal pénal fédéral (RS 173.711.32) sera fixé à CHF 1'500.--. La caisse du Tribunal pénal fédéral restituera aux plaignants le solde de l’avance de frais versée par CHF 1'500.--.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