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BB.2010.23 vom 18. Mai 2010</w:t>
      </w:r>
    </w:p>
    <w:p>
      <w:r>
        <w:t>Bundesstrafgericht, 2010-05-18, FR</w:t>
      </w:r>
    </w:p>
    <w:p>
      <w:r>
        <w:rPr>
          <w:b/>
        </w:rPr>
        <w:t xml:space="preserve">Quelle: </w:t>
      </w:r>
      <w:r>
        <w:t>https://mcp.opencaselaw.ch/entscheid/bstger_BB.2010.23</w:t>
      </w:r>
    </w:p>
    <w:p>
      <w:r>
        <w:t>FR: TPF BB.2010.23 du 18 mai 2010</w:t>
      </w:r>
    </w:p>
    <w:p>
      <w:r>
        <w:t>IT: TPF BB.2010.23 del 18 maggio 2010</w:t>
      </w:r>
    </w:p>
    <w:p>
      <w:pPr>
        <w:pStyle w:val="Heading2"/>
      </w:pPr>
      <w:r>
        <w:t>Regeste</w:t>
      </w:r>
    </w:p>
    <w:p>
      <w:r>
        <w:t>Refus de suivre (art. 100 al. 3 PPF).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plainte est irrecevable.</w:t>
      </w:r>
    </w:p>
    <w:p>
      <w:r>
        <w:rPr>
          <w:b/>
        </w:rPr>
        <w:t>E. 2</w:t>
      </w:r>
    </w:p>
    <w:p>
      <w:r>
        <w:t>Un émolument de Fr. 500.-- est mis à la charge solidaire des plaignants.</w:t>
      </w:r>
    </w:p>
    <w:p>
      <w:r>
        <w:t>Bellinzone, le 19 mai 2010</w:t>
      </w:r>
    </w:p>
    <w:p>
      <w:r>
        <w:t>Au nom de la Ire Cour des plaintes du Tribunal pénal fédéral</w:t>
      </w:r>
    </w:p>
    <w:p>
      <w:r>
        <w:t>Le président:</w:t>
      </w:r>
    </w:p>
    <w:p>
      <w:r>
        <w:t>La greffière:</w:t>
      </w:r>
    </w:p>
    <w:p>
      <w:r>
        <w:t>Distribution</w:t>
      </w:r>
    </w:p>
    <w:p>
      <w:r>
        <w:t>- A. et B., chez Madame C. - Ministère public de la Confédération</w:t>
      </w:r>
    </w:p>
    <w:p>
      <w:r>
        <w:t>Indication des voies de recours Il n’existe pas de voie de recours ordinaire contre le présent arrêt.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