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BB.2010.22 vom 26. Juli 2010</w:t>
      </w:r>
    </w:p>
    <w:p>
      <w:r>
        <w:t>Bundesstrafgericht, 2010-07-26, FR</w:t>
      </w:r>
    </w:p>
    <w:p>
      <w:r>
        <w:rPr>
          <w:b/>
        </w:rPr>
        <w:t xml:space="preserve">Quelle: </w:t>
      </w:r>
      <w:r>
        <w:t>https://mcp.opencaselaw.ch/entscheid/bstger_BB.2010.22</w:t>
      </w:r>
    </w:p>
    <w:p>
      <w:r>
        <w:t>FR: TPF BB.2010.22 du 26 juillet 2010</w:t>
      </w:r>
    </w:p>
    <w:p>
      <w:r>
        <w:t>IT: TPF BB.2010.22 del 26 luglio 2010</w:t>
      </w:r>
    </w:p>
    <w:p>
      <w:pPr>
        <w:pStyle w:val="Heading2"/>
      </w:pPr>
      <w:r>
        <w:t>Regeste</w:t>
      </w:r>
    </w:p>
    <w:p>
      <w:r>
        <w:t>Séquestre (art. 65 PPF).</w:t>
      </w:r>
    </w:p>
    <w:p>
      <w:pPr>
        <w:pStyle w:val="Heading2"/>
      </w:pPr>
      <w:r>
        <w:t>Erwägungen</w:t>
      </w:r>
    </w:p>
    <w:p>
      <w:r>
        <w:rPr>
          <w:b/>
        </w:rPr>
        <w:t>E. 1.1</w:t>
      </w:r>
    </w:p>
    <w:p>
      <w:r>
        <w:t>Les opérations et les omissions du procureur général peuvent faire l'objet d'une plainte auprès de la Cour de céans (art. 105bis al. 2 PPF et art. 28 al. 1 let. a LTPF).</w:t>
      </w:r>
    </w:p>
    <w:p>
      <w:r>
        <w:rPr>
          <w:b/>
        </w:rPr>
        <w:t>E. 1.2</w:t>
      </w:r>
    </w:p>
    <w:p>
      <w:r>
        <w:t>En l'espèce, la lettre du MPC du 15 avril 2010 constitue une décision, dans la mesure où elle a été adressée aux plaignants en réponse à leurs re- quête. Formée dans le délai de cinq jours prévu à l'art. 217 PPF, la plainte est interjetée en temps utile.</w:t>
      </w:r>
    </w:p>
    <w:p>
      <w:r>
        <w:rPr>
          <w:b/>
        </w:rPr>
        <w:t>E. 1.3</w:t>
      </w:r>
    </w:p>
    <w:p>
      <w:r>
        <w:t>En sa qualité de tiers saisi, la plaignante n’est pas une partie au sens de l’art. 34 PPF. Par contre, elle remplit les conditions posées par l’art. 70 al. 2 CP dans la mesure où elle revendique le déblocage d’un compte dont elle est titulaire, susceptible de confiscation. Le préjudice illégitime allégué ré- side dans la restriction du pouvoir de disposition du bénéficiaire (cf. art. 214 al. 2 PPF). Celui-ci est ainsi touché par la mesure et, par conséquent, légi- timé à s’en plaindre (v. arrêt du Tribunal pénal fédéral BB.2005.25 du 12 août 2005, consid. 1.2 et les références citées). La plainte est donc rece- vable.</w:t>
      </w:r>
    </w:p>
    <w:p>
      <w:r>
        <w:rPr>
          <w:b/>
        </w:rPr>
        <w:t>E. 1.4</w:t>
      </w:r>
    </w:p>
    <w:p>
      <w:r>
        <w:t>En présence d’une mesure de contrainte telle que le séquestre de valeurs patrimoniales, la cognition de la Cour de céans est complète (arrêt du Tri- bunal pénal fédéral BB.2005.4 du 27 avril 2005, consid. 1.2).</w:t>
      </w:r>
    </w:p>
    <w:p>
      <w:r>
        <w:rPr>
          <w:b/>
        </w:rPr>
        <w:t>E. 2</w:t>
      </w:r>
    </w:p>
    <w:p>
      <w:r>
        <w:t>Il convient de procéder tout d’abord à l’examen des griefs de nature for- melle. La plaignante s’en prend en effet à la motivation de la décision, qu’elle juge insuffisante.</w:t>
      </w:r>
    </w:p>
    <w:p>
      <w:r>
        <w:t>L’obligation pour l’autorité d’indiquer les motifs qui la conduisent à sa déci- sion tend à donner à la personne touchée les moyens d’apprécier la portée du prononcé et de le contester efficacement, s’il y a lieu, devant une ins- tance supérieure (arrêt du Tribunal fédéral 1P/716.2006 du 10 novembre 2006, consid. 2.2). Elle peut toutefois se limiter à l’examen des questions décisives pour l’issue du litige; il suffit que le justiciable puisse apprécier correctement la portée de la décision et l’attaquer à bon escient (arrêt du Tribunal fédéral 1B_114/2010 du 28 juin 2010, consid. 4.1 et la jurispru- dence citée ).</w:t>
      </w:r>
    </w:p>
    <w:p>
      <w:r>
        <w:t>- 5 -</w:t>
      </w:r>
    </w:p>
    <w:p>
      <w:r>
        <w:t>Dans sa décision du 15 avril 2010, le MPC a considéré que «le settlement entre E. et le SFO» ne justifiait pas la levée du séquestre. Il est également fait référence au courrier du MPC du 31 mars 2010, qui ne porte pas d’autres indications d’importance (act. 1.26). Ainsi, quand bien même C., D. et la plaignante connaissent la procédure et bien que les raisons de la dé- cision querellée doivent s’apprécier en tenant compte des échanges de correspondance précédents, il n’en demeure pas moins que la motivation de la décision querellée est minimaliste. En effet, la décision est l’occasion, au terme d’un échange entre les parties et l’autorité, d’exposer synthéti- quement l’essentiel des arguments de cette dernière, de telle sorte que les parties concernées peuvent examiner précisément leurs motifs d’opposition aux différentes raisons de dite décision avant de s’en plaindre éventuelle- ment. En l’espèce, il convient de retenir que tel n’a pas été le cas, le MPC ne s’exprimant pas sur la proportionnalité de sa décision qui, comme il sera exposé par après, constitue le cœur d’une mesure de contrainte telle que le séquestre. Cela étant, l’absence de motivation peut toutefois se guérir de- vant l’autorité supérieure lorsque l’autorité intimée justifie sa décision et l’explique dans le mémoire de réponse, que le recourant a eu la possibilité de présenter un mémoire complémentaire pour prendre position sur les motifs contenus dans la réponse des autorités intimées et qu’il n’en résulte aucun préjudice pour le recourant (cf. ATF 125 I 209 consid. 9a et les ar- rêts cités). Le MPC a extensivement justifié sa décision par sa réponse du</w:t>
      </w:r>
    </w:p>
    <w:p>
      <w:r>
        <w:rPr>
          <w:b/>
        </w:rPr>
        <w:t>E. 6</w:t>
      </w:r>
    </w:p>
    <w:p>
      <w:r>
        <w:t>Selon l’art. 66 al. 1 LTF (applicable par renvoi de l’art. 245 al. 1 PPF), la partie qui succombe est tenue au paiement des frais. Ceux-ci se limitent en l’espèce à un émolument, qui, en application de l’art. 3 du règlement du 1er février 2004 fixant les émoluments judiciaires perçus par le Tribunal pénal fédéral (RS 173.711.32) sera fixé à CHF 1'000.--. La caisse du Tribunal pénal fédéral restituera aux plaignants le solde de l’avance de frais versée par CHF 500.--.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