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BB.2010.18 vom 28. Juli 2010</w:t>
      </w:r>
    </w:p>
    <w:p>
      <w:r>
        <w:t>Bundesstrafgericht, 2010-07-28, DE</w:t>
      </w:r>
    </w:p>
    <w:p>
      <w:r>
        <w:rPr>
          <w:b/>
        </w:rPr>
        <w:t xml:space="preserve">Quelle: </w:t>
      </w:r>
      <w:r>
        <w:t>https://mcp.opencaselaw.ch/entscheid/bstger_BB.2010.18</w:t>
      </w:r>
    </w:p>
    <w:p>
      <w:r>
        <w:t>FR: TPF BB.2010.18 du 28 juillet 2010</w:t>
      </w:r>
    </w:p>
    <w:p>
      <w:r>
        <w:t>IT: TPF BB.2010.18 del 28 luglio 2010</w:t>
      </w:r>
    </w:p>
    <w:p>
      <w:pPr>
        <w:pStyle w:val="Heading2"/>
      </w:pPr>
      <w:r>
        <w:t>Regeste</w:t>
      </w:r>
    </w:p>
    <w:p>
      <w:r>
        <w:t>Einziehungsbeschlagnahme (Art. 65 Abs. 1 BStP).</w:t>
      </w:r>
    </w:p>
    <w:p>
      <w:pPr>
        <w:pStyle w:val="Heading2"/>
      </w:pPr>
      <w:r>
        <w:t>Erwägungen</w:t>
      </w:r>
    </w:p>
    <w:p>
      <w:r>
        <w:rPr>
          <w:b/>
        </w:rPr>
        <w:t>E. 1</w:t>
      </w:r>
    </w:p>
    <w:p>
      <w:r>
        <w:t>Es sei Ziffer 1 des Dispositives der Verfügung der Beschwerdegegnerin vom 7. Ap- ril 2010 aufzuheben und es sei die mit Verfügung der Beschwerdegegnerin vom 7. August 2007 angeordnete Beschlagnahme von Vermögenswerten der Beschwer- deführerin bei der Bank B. SA (geführt unter Stammnummer 1) aufzuheben bzw. de- ren umgehende Aufhebung (zumindest teilweise) anzuordnen.</w:t>
      </w:r>
    </w:p>
    <w:p>
      <w:r>
        <w:t>- 3 -</w:t>
      </w:r>
    </w:p>
    <w:p>
      <w:r>
        <w:rPr>
          <w:b/>
        </w:rPr>
        <w:t>E. 1.1</w:t>
      </w:r>
    </w:p>
    <w:p>
      <w:r>
        <w:t>Gegen Amtshandlungen und wegen Säumnis der Bundesanwaltschaft ist die Beschwerde nach den Vorschriften der Art. 214 ff. BStP an die I. Be- schwerdekammer des Bundesstrafgerichts zulässig (Art. 105bis Abs. 2 BStP i.V.m. Art. 28 Abs. 1 lit. a SGG und Art. 9 Abs. 2 des Reglements vom 20. Juni 2006 für das Bundesstrafgericht; SR 173.710). Die Beschwerde steht den Parteien und einem jeden zu, der durch eine Verfügung oder</w:t>
      </w:r>
    </w:p>
    <w:p>
      <w:r>
        <w:t>- 4 -</w:t>
      </w:r>
    </w:p>
    <w:p>
      <w:r>
        <w:t>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rPr>
          <w:b/>
        </w:rPr>
        <w:t>E. 1.2</w:t>
      </w:r>
    </w:p>
    <w:p>
      <w:r>
        <w:t>Die Beschwerdeführerin ist, obschon sie im Bundesstrafverfahren nicht Partei im Sinne des Art. 34 BStP ist, durch den Entscheid, mit welchem die von ihr anbegehrte Aufhebung der Beschlagnahme ihrer Vermögenswerte abgelehnt wurde, ohne weiteres beschwert und somit zur Beschwerdefüh- rung legitimiert (Entscheid des Bundesstrafgerichts BK_B 199/04 vom 19. Januar 2005, E. 2 m.w.H.). Auf ihre im Übrigen frist- und formgerechte Beschwerde ist daher einzutreten.</w:t>
      </w:r>
    </w:p>
    <w:p>
      <w:r>
        <w:t>2.</w:t>
      </w:r>
    </w:p>
    <w:p>
      <w:r>
        <w:rPr>
          <w:b/>
        </w:rPr>
        <w:t>E. 2</w:t>
      </w:r>
    </w:p>
    <w:p>
      <w:r>
        <w:t>Es sei die Beschwerdegegnerin anzuweisen, der Beschwerdeführerin eine angemes- sene Entschädigung aus der Staatskasse zuzusprechen.</w:t>
      </w:r>
    </w:p>
    <w:p>
      <w:r>
        <w:rPr>
          <w:b/>
        </w:rPr>
        <w:t>E. 2.1</w:t>
      </w:r>
    </w:p>
    <w:p>
      <w:r>
        <w:t>Gemäss Art. 65 Abs. 1 BStP können Gegenstände und Vermögenswerte, die voraussichtlich der Einziehung unterliegen, beschlagnahmt werden. Der Einziehung unterliegen u. a. Vermögenswerte, die durch eine Straftat er- langt worden sind oder dazu bestimmt waren, eine Straftat zu veranlassen oder zu belohnen (Art. 70 Abs. 1 StGB). Im Gegensatz zur endgültigen ma- teriellrechtlichen Einziehung stellt die Beschlagnahme lediglich eine von Bundesrechts wegen vorgeschriebene provisorische „konservatorische“ prozessuale Massnahme zur vorläufigen Sicherstellung der allenfalls ein- zuziehenden Vermögenswerte dar (SCHMID, Handbuch des schweizeri- schen Strafprozessrechts, Zürich/St. Gallen 2009, N. 1115; TRECHSEL/ JEAN-RICHARD, Praxiskommentar, Zürich/St. Gallen 2008, Vor Art. 69 StGB N. 4). Sie greift dem Entscheid über die endgültige Einziehung nicht vor (TPF 2005 84 E. 3.2.1 S. 87 m.w.H.; BAUMANN, Basler Kommentar, 2. Aufl., Basel 2007, Art. 72 StGB N. 20; HAUSER/SCHWERI/HARTMANN, Schweizeri- sches Strafprozessrecht, 6. Aufl., Basel 2005, S. 344 f. N. 18).</w:t>
      </w:r>
    </w:p>
    <w:p>
      <w:r>
        <w:t>Für die Einziehungsbeschlagnahme bedarf es eines hinreichenden, objek- tiv begründeten konkreten Verdachts (BGE 122 IV 91 E. 4 S. 95; TPF 2005 84 E. 3.1.2; SCHMID, a.a.O., N. 1115), wonach die betroffenen Vermögens- werte durch eine Straftat erlangt worden sind oder dazu bestimmt waren, eine Straftat zu veranlassen oder zu belohnen. Der „hinreichende“ Ver- dacht setzt – in Abgrenzung zum „dringenden“ – nicht voraus, dass Bewei- se und Indizien bereits für eine erhebliche oder hohe Wahrscheinlichkeit einer Verurteilung sprechen; allerdings muss er sich im Verlaufe der weite- ren Ermittlungen weiter verdichten. Die Verdachtslage unterliegt mit ande- ren Worten einer umso strengeren Prüfung, „je weiter das Verfahren fort-</w:t>
      </w:r>
    </w:p>
    <w:p>
      <w:r>
        <w:t>- 5 -</w:t>
      </w:r>
    </w:p>
    <w:p>
      <w:r>
        <w:t>geschritten ist“ (vgl. hierzu anschaulich BAUMANN, a.a.O., Art. 72 StGB N. 21). Bei der Beurteilung der Rechtmässigkeit und Angemessenheit einer Beschlagnahme hat die I. Beschwerdekammer diesbezüglich jedoch keine erschöpfende Abwägung sämtlicher belastender und entlastender Beweis- ergebnisse vorzunehmen. Diese bleibt dem für die Fällung des materiell- rechtlichen Einziehungsentscheides zuständigen Sachrichter vorbehalten (vgl. hierzu KELLER, Strafverfahren des Bundes, AJP 2007, S. 197 ff., 211 m.w.H.).</w:t>
      </w:r>
    </w:p>
    <w:p>
      <w:r>
        <w:t>Die Beschlagnahme hat schliesslich im öffentlichen Interesse zu liegen und den Grundsatz der Verhältnismässigkeit zu wahren (TPF 2005 84 E. 3.2.2; PIQUEREZ, Traité de procédure pénale suisse, 2. Aufl., Genf/Zürich/Basel 2006, N. 914 und 930; HAUSER/SCHWERI/HARTMANN, a.a.O., S. 341 N. 3; vgl. zum Ganzen nebst anderen auch die Entscheide des Bundesstrafge- richts BB.2009.33 vom 30. September 2009, E. 2.2; BB.2008.79 vom 2. Dezember 2008, E. 3, 3.1 und 3.2; jeweils m.w.H.).</w:t>
      </w:r>
    </w:p>
    <w:p>
      <w:r>
        <w:rPr>
          <w:b/>
        </w:rPr>
        <w:t>E. 2.2.1</w:t>
      </w:r>
    </w:p>
    <w:p>
      <w:r>
        <w:t>In ihrem Entscheid BB.2009.69 vom 27. Oktober 2009 kam die I. Be- schwerdekammer anhand der ihr zu jenem Zeitpunkt vorliegenden Akten zum Schluss, es bestehe der hinreichende Verdacht, wonach es sich bei den beschlagnahmten Vermögenswerten um Gelder handle, welche aus zum Nachteil der Zentralbank der Republik Mazedonien (nachfolgend „Zentralbank“) verübten Delikten herrühren, so dass nach wie vor ein öf- fentliches Interesse an der Aufrechterhaltung der Beschlagnahme bestehe, obwohl es den hiesigen Strafverfolgungsbehörden noch nicht gelungen war, den direkten Nachweis der Verschiebung der inkriminierten Vermö- genswerte auf das Konto der Beschwerdeführerin zu erbringen (vgl. zum Tatverdacht E. 2.2 des angeführten Entscheides).</w:t>
      </w:r>
    </w:p>
    <w:p>
      <w:r>
        <w:rPr>
          <w:b/>
        </w:rPr>
        <w:t>E. 2.2.2</w:t>
      </w:r>
    </w:p>
    <w:p>
      <w:r>
        <w:t>Die Beschwerdeführerin begründete ihr Gesuch vom 27. Januar 2010 um Aufhebung der Vermögenssperre mit Hinweis auf das Urteil 346/2008 des obersten Gerichtshofs der Republik Mazedonien vom 20. Januar 2010, mit welchem die gegenüber C. und D. ergangenen erst- und zweitinstanzlichen Verurteilungen wegen der angeblich zum Nachteil der Zentralbank verüb- ten Delikte aufgehoben wurden (act. 1.10 mit Hinweis auf act. 1.11 und 1.12). Die Beschwerdegegnerin hält demgegenüber dafür, dass die Be- schwerdeführerin aus diesem Urteil nichts zu ihren Gunsten ableiten kön- ne, da sich das Strafverfahren in Mazedonien erneut im Stadium der An- klageerhebung befinde. Des Weiteren habe sich der Verdacht hinsichtlich der Verschiebung der deliktisch erlangten Gelder auf die vorliegend ge- sperrte Kundenbeziehung weiter verdichtet (act. 8).</w:t>
      </w:r>
    </w:p>
    <w:p>
      <w:r>
        <w:t>- 6 -</w:t>
      </w:r>
    </w:p>
    <w:p>
      <w:r>
        <w:rPr>
          <w:b/>
        </w:rPr>
        <w:t>E. 2.2.3</w:t>
      </w:r>
    </w:p>
    <w:p>
      <w:r>
        <w:t>Der Beschwerdegegnerin ist zwar insofern beizupflichten, als dass das von der Beschwerdeführerin angeführte Urteil des obersten Gerichtshofs in Ma- zedonien keinen Freispruch darstellt, werden mit diesem doch lediglich die in unterer Instanz ergangenen Urteile aufgehoben und die Sache zu neuer Entscheidung an das zuständige Amtsgericht überwiesen (act. 1.11, S. 14 f.). Bezüglich des vorliegend interessierenden, für die Aufrechterhal- tung der Beschlagnahme hinreichenden Tatverdachts beachtenswert ist aber dennoch, dass „deutliche Zweifel“ bezüglich der Wahrheit der Ent- scheidungstatsachen, welche in den unterinstanzlichen Urteilen festgestellt worden waren und letztlich auch Grundlage des an die Schweiz gerichteten Rechtshilfeersuchens (vgl. hierzu Entscheid des Bundesstrafgerichts BB.2009.69 vom 27. Oktober 2009, E. 2.2) bilden, aufgetreten sind (act. 1.11, S. 4 unten). Insbesondere aber löst sich der auf dem mazedoni- schen Rechtshilfeersuchen basierende Tatverdacht hinsichtlich einer an- geblichen Schädigung der Zentralbank praktisch in Luft auf, wenn man be- rücksichtigt, dass deren Vertreter im mazedonischen Strafverfahren „über- haupt keine Schadenersatzforderung erklärt hat“ (act. 1.11, S. 12). Der Verdacht auf eine der angeblichen Geldwäscherei vorangehende Vortat (betrügerische Schädigung der Zentralbank) muss daher stark angezweifelt werden.</w:t>
      </w:r>
    </w:p>
    <w:p>
      <w:r>
        <w:rPr>
          <w:b/>
        </w:rPr>
        <w:t>E. 2.2.4</w:t>
      </w:r>
    </w:p>
    <w:p>
      <w:r>
        <w:t>Abgesehen vom nunmehr zweifelhaften Bestand eines Schadens der Zent- ralbank bzw. der spiegelbildlichen ungerechtfertigten Bereicherung des C., gelingt es – entgegen den Ausführungen der Beschwerdegegnerin (vgl. act. 8, Ziff. III. 1.2) – auf Grund der heute vorliegenden Akten immer noch nicht, eine direkte Verbindung zwischen der im erwähnten Rechtshilfeersu- chen beschriebenen, gestützt auf einen Zahlungsauftrag vom 28. Juli 2000 erfolgten Überweisung von USD 20 Mio. der Zentralbank auf ein Konto der E. GmbH bei der Bank F. und den vorliegend beschlagnahmten Vermö- genswerten herzustellen. Zwar lässt sich dem rechtshilfeweise in Deutsch- land erhobenen Kontoauszug der E. GmbH mit Valuta 28. August 2000 ei- ne Gutschrift von knapp USD 20 Mio. entnehmen, jedoch bleibt die genaue Herkunft dieses Geldes anhand des Kontoauszugs allein ungewiss (act. 8.1). Ebenso lässt sich feststellen, dass ab jenem Konto der E. GmbH am 19. September 2000 ein Übertrag auf das Konto der G. Ltd. mit dem Betreff „Kredit von E. GmbH“ in der Höhe von USD 20 Mio. erfolgte (act. 8.2 und 17). In den erhobenen Unterlagen finden sich jedoch keinerlei Anhaltspunkte für deren Weiterleitung, wie sie im Bericht der Bundeskrimi- nalpolizei vom 18. März 2009 vermutet wird (Akten BA, Rubrik 5, S. 4 des Berichts). Der dort beschriebene Geldtransfer via ein Konto der H. auf ein Klientengelderkonto des Rechtsanwalts I., erscheint zwar auf Grund der</w:t>
      </w:r>
    </w:p>
    <w:p>
      <w:r>
        <w:t>- 7 -</w:t>
      </w:r>
    </w:p>
    <w:p>
      <w:r>
        <w:t>von I. gemachten Angaben als plausibel (vgl. das Schreiben von I. vom 20. November 2008, S. 2 unten; Beilage 2 zum Bericht der Bundeskrimi- nalpolizei vom 18. März 2009; Akten BA, Rubrik 5), findet aber in den nun- mehr in Deutschland erhobenen Bankunterlagen keinerlei Stütze (vgl. act. 18 und 19). Zum selben Schluss kommt im Übrigen auch der mit der Analyse betraute Sachbearbeiter der Bundeskriminalpolizei in seiner E-Mail an die Beschwerdegegnerin vom 12. Mai 2010, wenn auch unter Vorbehalt der noch ausstehenden Analyse der Detailbelege (Akten BA, Rubrik 5). Immerhin ist aber auch anhand der vom Sachbearbeiter zusam- mengestellten Transaktionen betreffend das Konto der G. Ltd. nicht im Ge- ringsten ersichtlich, wie es von dort aus zu einer Vermögensverschiebung von über USD 13 Mio. auf das Klientengelderkonto von I. gekommen sein soll (vgl. hierzu den entsprechenden Beleg als Beilage 3 zum Bericht der Bundeskriminalpolizei vom 18. März 2009; Akten BA, Rubrik 5).</w:t>
      </w:r>
    </w:p>
    <w:p>
      <w:r>
        <w:rPr>
          <w:b/>
        </w:rPr>
        <w:t>E. 2.3</w:t>
      </w:r>
    </w:p>
    <w:p>
      <w:r>
        <w:t>Der Verdacht, D. und C. hätten zum Nachteil der Zentralbank betrügerische Handlungen begangen, hat sich auf Grund der neuesten Erkenntnisse nicht verdichtet. Nachdem sich die Zentralbank selber offenbar nicht als geschä- digt erachtet, erscheint eine entsprechende Verurteilung als eher unwahr- scheinlich. Zudem ist es nach knapp drei Jahren Ermittlungsdauer auch nicht gelungen, eine direkte Verbindung zwischen der angeblichen Vortat und den beschlagnahmten Vermögenswerten herzustellen, so dass es ins- gesamt als unwahrscheinlich erscheint, dass diese einer künftigen Einzie- hung unterliegen. Die Voraussetzungen zur Aufrechterhaltung der Be- schlagnahme sind daher nicht mehr gegeben, weswegen sich das Begeh- ren um Freigabe der Vermögenswerte als begründet erweist und gutzu- heissen ist.</w:t>
      </w:r>
    </w:p>
    <w:p>
      <w:r>
        <w:rPr>
          <w:b/>
        </w:rPr>
        <w:t>E. 3</w:t>
      </w:r>
    </w:p>
    <w:p>
      <w:r>
        <w:t>Eventualiter sei die Beschwerdegegnerin anzuweisen, über eine allfällige Herausgabe von Vermögenswerten der Beschwerdeführerin, insbesondere der beschlagnahmten Vermögenswerte, an die mazedonischen Behörden in einer anfechtbaren Verfügung im Sinne von Art. 80d IRSG zu entscheiden, soweit das Verfahren in der Schweiz nicht fortgesetzt wird. Alles unter Kosten- und Entschädigungsfolge zu Lasten der Staatskasse.</w:t>
      </w:r>
    </w:p>
    <w:p>
      <w:r>
        <w:t>In ihrer Beschwerdeantwort vom 17. Mai 2010 schliesst die Bundesanwalt- schaft auf kostenfällige Abweisung der Beschwerde, soweit darauf einzu- treten ist (act. 8). In ihrer Replik vom 1. Juni 2010 hält die Beschwerdefüh- rerin an ihren Rechtsbegehren Ziff. 1 und 2 fest und ersucht um Gutheis- sung ihrer Beschwerde (act. 11). Die Replik wurde der Bundesanwaltschaft am 2. Juni 2010 zur Kenntnis gebracht (act. 12). Mit Verfügung vom 16. Juni 2010 hob die Bundesanwaltschaft die Beschlagnahme zwecks Be- gleichung einer pfandgesicherten Kreditschuld gegenüber der Bank B. SA im Umfang von EUR 1'911'640.98 zuzüglich aufgelaufener Zinsen auf (act. 13.1), was die A. Ltd. am 17. Juni 2010 zu einer Ergänzung ihrer Be- schwerde veranlasste (act. 13). Nachdem die I. Beschwerdekammer der Bundesanwaltschaft nach Abschluss des Beschwerdeverfahrens BB.2009.69 die eingereichten Akten retourniert hatte, forderte sie die Bun- desanwaltschaft am 18. Juni 2010 zur Einreichung der gesamten Verfah- rensakten auf (act. 14). Im Rahmen der Einreichung der Akten nahm die Bundesanwaltschaft am 28. Juni 2010 unaufgefordert zur Beschwerdeer- gänzung der A. Ltd. Stellung (act. 15).</w:t>
      </w:r>
    </w:p>
    <w:p>
      <w:r>
        <w:t>Auf die Ausführungen der Parteien und die eingereichten Akten wird, so- weit erforderlich, in den folgenden rechtlichen Erwägungen Bezug genom- men.</w:t>
      </w:r>
    </w:p>
    <w:p>
      <w:r>
        <w:t>Die I. Beschwerdekammer zieht in Erwägung:</w:t>
      </w:r>
    </w:p>
    <w:p>
      <w:r>
        <w:t>1.</w:t>
      </w:r>
    </w:p>
    <w:p>
      <w:r>
        <w:rPr>
          <w:b/>
        </w:rPr>
        <w:t>E. 3.1</w:t>
      </w:r>
    </w:p>
    <w:p>
      <w:r>
        <w:t>Bei diesem Ausgang des Verfahrens sind keine Gerichtskosten zu erheben (Art. 245 Abs. 1 BStP i.V.m. Art. 66 Abs. 4 BGG). Die Bundesstrafgerichts- kasse hat daher der Beschwerdeführerin den geleisteten Kostenvorschuss zurückzuerstatten.</w:t>
      </w:r>
    </w:p>
    <w:p>
      <w:r>
        <w:rPr>
          <w:b/>
        </w:rPr>
        <w:t>E. 3.2</w:t>
      </w:r>
    </w:p>
    <w:p>
      <w:r>
        <w:t>Die Beschwerdegegnerin hat der Beschwerdeführerin für ihre Aufwendun- gen für das vorliegenden Beschwerdeverfahren eine Parteientschädigung von Fr. 1'500.-- (inkl. Auslagen, ohne MwSt.) zu entrichten (Art. 245 Abs. 1 BStP i.V.m. Art. 68 Abs. 1 BGG und Art. 3 des Reglements vom 26. Sep- tember 2006 über die Entschädigungen in Verfahren vor dem Bundesstraf- gericht; SR 173.711.31). Auf weitergehende Entschädigungsforderungen (vgl. act. 1, Rechtsbegehren Ziff. 2) kann die I. Beschwerdekammer an die-</w:t>
      </w:r>
    </w:p>
    <w:p>
      <w:r>
        <w:t>- 8 -</w:t>
      </w:r>
    </w:p>
    <w:p>
      <w:r>
        <w:t>ser Stelle nicht eintreten. Diese sind zu gegebener Zeit direkt an die Ver- fahrensleitung zu richten.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