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BB.2010.13 vom 23. März 2010</w:t>
      </w:r>
    </w:p>
    <w:p>
      <w:r>
        <w:t>Bundesstrafgericht, 2010-03-23, DE</w:t>
      </w:r>
    </w:p>
    <w:p>
      <w:r>
        <w:rPr>
          <w:b/>
        </w:rPr>
        <w:t xml:space="preserve">Quelle: </w:t>
      </w:r>
      <w:r>
        <w:t>https://mcp.opencaselaw.ch/entscheid/bstger_BB.2010.13</w:t>
      </w:r>
    </w:p>
    <w:p>
      <w:r>
        <w:t>FR: TPF BB.2010.13 du 23 mars 2010</w:t>
      </w:r>
    </w:p>
    <w:p>
      <w:r>
        <w:t>IT: TPF BB.2010.13 del 23 marzo 2010</w:t>
      </w:r>
    </w:p>
    <w:p>
      <w:pPr>
        <w:pStyle w:val="Heading2"/>
      </w:pPr>
      <w:r>
        <w:t>Regeste</w:t>
      </w:r>
    </w:p>
    <w:p>
      <w:r>
        <w:t>Nichtfolgegebung einer Anzeige (Art. 100 Abs. 3 BStP).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März 2010 mitteilte, dass sie sich mangels Zuständigkeit nicht mit der Angelegenheit befassen könne, und die Strafanzeige an die Staatsanwalt- schaft des Kantons Luzern weiterleitete (act. 1.1);</w:t>
      </w:r>
    </w:p>
    <w:p>
      <w:r>
        <w:t>- der Beschwerdeführer am 15. März 2010 mit „staatsrechtlicher Beschwer- de“ hiergegen sowie gegen ein Urteil des Obergerichts des Kantons Luzern vom 29. Oktober 2009 an die I. Beschwerdekammer des Bundesstrafge- richts gelangte und nebst verschiedenen Auskünften, die Untersuchung der durch Behördenmitglieder des Kantons Luzern angeblich begangenen Ur- kundenfälschung sowie die Rückweisung der Sache an die Bundesanwalt- schaft zur Neubeurteilung verlangte (act. 1);</w:t>
      </w:r>
    </w:p>
    <w:p>
      <w:r>
        <w:t>- das Bundesstrafgericht nicht für die Überprüfung kantonaler Strafurteile zu- ständig ist;</w:t>
      </w:r>
    </w:p>
    <w:p>
      <w:r>
        <w:t>- die Nichtfolgegebung einer Anzeige durch die Bundesanwaltschaft gemäss Art. 100 Abs. 5 BStP nur vom Opfer im Sinne von Art. 1 Abs. 1 des Bun- desgesetzes vom 23. März 2007 über die Hilfe von Opfer von Straftaten (Opferhilfegesetz, OHG; SR 312.5) angefochten werden kann;</w:t>
      </w:r>
    </w:p>
    <w:p>
      <w:r>
        <w:t>- hinsichtlich der vom Beschwerdeführer zur Anzeige gebrachten Delikte kei- nerlei unmittelbare Beeinträchtigung seiner körperlichen, psychischen oder sexuellen Integrität erkennbar ist, weswegen er über keine Opfereigen- schaft gemäss Art. 1 Abs. 1 OHG und somit über keine Legitimation zur Beschwerdeführung verfügt;</w:t>
      </w:r>
    </w:p>
    <w:p>
      <w:r>
        <w:t>- 3 -</w:t>
      </w:r>
    </w:p>
    <w:p>
      <w:r>
        <w:t>- sich die Beschwerde daher als sofort unzulässig erweist und auf die Einho- lung weiterer Stellungnahmen verzichtet wird (Art. 219 Abs. 1 BStP e contrario);</w:t>
      </w:r>
    </w:p>
    <w:p>
      <w:r>
        <w:t>- bei diesem Ausgang des Verfahrens der Beschwerdeführer die Gerichts- kosten zu tragen hat (Art. 245 Abs. 1 BStP i.V.m. Art. 66 Abs. 1 BGG);</w:t>
      </w:r>
    </w:p>
    <w:p>
      <w:r>
        <w:t>- die Gerichtsgebühr auf Fr. 200.-- festgesetzt wird (Art. 245 Abs. 2 BStP und Art. 3 des Reglements vom 11. 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