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BB.2010.120 vom 28. Dezember 2010</w:t>
      </w:r>
    </w:p>
    <w:p>
      <w:r>
        <w:t>Bundesstrafgericht, 2010-12-28, DE</w:t>
      </w:r>
    </w:p>
    <w:p>
      <w:r>
        <w:rPr>
          <w:b/>
        </w:rPr>
        <w:t xml:space="preserve">Quelle: </w:t>
      </w:r>
      <w:r>
        <w:t>https://mcp.opencaselaw.ch/entscheid/bstger_BB.2010.120</w:t>
      </w:r>
    </w:p>
    <w:p>
      <w:r>
        <w:t>FR: TPF BB.2010.120 du 28 décembre 2010</w:t>
      </w:r>
    </w:p>
    <w:p>
      <w:r>
        <w:t>IT: TPF BB.2010.120 del 28 dicembre 2010</w:t>
      </w:r>
    </w:p>
    <w:p>
      <w:pPr>
        <w:pStyle w:val="Heading2"/>
      </w:pPr>
      <w:r>
        <w:t>Regeste</w:t>
      </w:r>
    </w:p>
    <w:p>
      <w:r>
        <w:t>Nichtfolgegebung einer Anzeige (Art. 100 Abs. 3 BStP).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März 2007 über die Hilfe an Opfer von Straftaten (Opferhilfegesetz, OHG; SR 312.5) legitimiert ist, gegen die Nichtfolgegebung einer Anzeige Beschwerde zu erheben (Art. 100 Abs. 5 BStP);</w:t>
      </w:r>
    </w:p>
    <w:p>
      <w:r>
        <w:t>- als Opfer jede Person gilt, die durch eine Straftat in ihrer körperlichen, psy- chischen oder sexuellen Integrität unmittelbar beeinträchtigt worden ist (Art. 1 Abs. 1 OHG);</w:t>
      </w:r>
    </w:p>
    <w:p>
      <w:r>
        <w:t>- vorliegend nicht ersichtlich ist, inwiefern A. durch die geltend gemachte Straftat entsprechend beeinträchtigt worden sein soll, weshalb es ihr an der zur Beschwerdeführung notwendigen Opfereigenschaft fehlt;</w:t>
      </w:r>
    </w:p>
    <w:p>
      <w:r>
        <w:t>- A. demgegenüber durch die ihr gegenüber verfügte Kostenauflage im Sin- ne von Art. 105bis Abs. 2 i.V.m. Art. 214 Abs. 2 BStP beschwert und somit zur Beschwerdeführung legitimiert ist (vgl. hierzu den Entscheid des Bun- desstrafgerichts BB.2007.10 vom 9. Mai 2007, E. 1.2);</w:t>
      </w:r>
    </w:p>
    <w:p>
      <w:r>
        <w:t>- bei Nichtanhandnahme des Ermittlungsverfahrens in der Regel die Bun- deskasse die Verfahrenskosten trägt (Art. 246bis Abs. 1 BStP), wobei diese ausnahmsweise ganz oder teilweise dem Anzeiger auferlegt werden kön- nen, sofern dieser das Verfahren durch Arglist oder grobe Fahrlässigkeit veranlasst oder erschwert hat (Art. 246bis Abs. 2 lit. b BStP);</w:t>
      </w:r>
    </w:p>
    <w:p>
      <w:r>
        <w:t>- 3 -</w:t>
      </w:r>
    </w:p>
    <w:p>
      <w:r>
        <w:t>- die vorgesehene Mindestgebühr für die Nichtfolgegebung Fr. 500.-- beträgt (vgl. Art. 4 lit. a der Verordnung vom 22. Oktober 2003 über die Kosten der Bundesstrafrechtspflege; SR 312.025);</w:t>
      </w:r>
    </w:p>
    <w:p>
      <w:r>
        <w:t>- der eingangs erwähnten Strafanzeige tatsächlich keinerlei Anhaltspunkte für ein relevantes strafbares Verhalten entnommen werden können;</w:t>
      </w:r>
    </w:p>
    <w:p>
      <w:r>
        <w:t>- das entsprechende Schreiben klar keine substantiierte Strafanzeige dar- stellt und sich daher als offensichtlich unbegründet erweist;</w:t>
      </w:r>
    </w:p>
    <w:p>
      <w:r>
        <w:t>- die Bundesanwaltschaft durch die Auferlegung der Verfahrenskosten an A. das ihr zustehende Ermessen in keiner Art und Weise verletzt hat;</w:t>
      </w:r>
    </w:p>
    <w:p>
      <w:r>
        <w:t>- sich die Beschwerde von A. nach dem Gesagten als offensichtlich unbe- gründet bzw. unzulässig erweist, weshalb diese ohne weiteren Schriften- wechsel abzuweisen ist, sofern auf sie eingetreten werden kann (Art. 219 Abs. 1 BStP e contrario);</w:t>
      </w:r>
    </w:p>
    <w:p>
      <w:r>
        <w:t>- bei diesem Ausgang des Verfahrens die Beschwerdeführerin als unterlie- gende Partei die Kosten zu tragen hat (Art. 245 Abs. 1 BStP i.V.m. Art. 66 Abs. 1 BGG), wobei die Gerichtsgebühr auf Fr. 300.-- festzusetzen ist (Art. 245 Abs. 2 BStP i.V.m. Art. 3 des Reglements vom 11. Februar 2004 über die Gerichtsgebühren vor dem Bundesstrafgericht,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