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BB.2010.12 vom 5. August 2010</w:t>
      </w:r>
    </w:p>
    <w:p>
      <w:r>
        <w:t>Bundesstrafgericht, 2010-08-05, DE</w:t>
      </w:r>
    </w:p>
    <w:p>
      <w:r>
        <w:rPr>
          <w:b/>
        </w:rPr>
        <w:t xml:space="preserve">Quelle: </w:t>
      </w:r>
      <w:r>
        <w:t>https://mcp.opencaselaw.ch/entscheid/bstger_BB.2010.12</w:t>
      </w:r>
    </w:p>
    <w:p>
      <w:r>
        <w:t>FR: TPF BB.2010.12 du 5 août 2010</w:t>
      </w:r>
    </w:p>
    <w:p>
      <w:r>
        <w:t>IT: TPF BB.2010.12 del 5 agosto 2010</w:t>
      </w:r>
    </w:p>
    <w:p>
      <w:pPr>
        <w:pStyle w:val="Heading2"/>
      </w:pPr>
      <w:r>
        <w:t>Regeste</w:t>
      </w:r>
    </w:p>
    <w:p>
      <w:r>
        <w:t>Einziehungsbeschlagnahme (Art. 65 Abs. 1 BStP).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März 2010 verfügte Vermögensbeschlagnahme betreffend die Konten Nr. 1 und Nr. 3 auf (act. 12.1). In ihrer Duplik vom selben Tage beantragt sie, das Verfahren infolge Gegenstandslosigkeit abzuschreiben und die Kosten des Verfahrens der Foundation aufzuerlegen, ohne Ausrichtung ei- ner Entschädigung (act. 12). Dagegen beantragt die Foundation in ihrer Stellungnahme vom 21. Juni 2010, die Kosten der Bundesanwaltschaft aufzuerlegen, ihr den geleisteten Kostenvorschuss zurückzuerstatten und</w:t>
      </w:r>
    </w:p>
    <w:p>
      <w:r>
        <w:t>- 3 -</w:t>
      </w:r>
    </w:p>
    <w:p>
      <w:r>
        <w:t>ihr eine Parteientschädigung in der Höhe von Fr. 24'720.-- zuzusprechen (act. 15).</w:t>
      </w:r>
    </w:p>
    <w:p>
      <w:r>
        <w:t>Auf die Ausführungen der Parteien und die eingereichten Akten wird, so- weit erforderlich, in den folgenden rechtlichen Erwägungen Bezug genom- men.</w:t>
      </w:r>
    </w:p>
    <w:p>
      <w:r>
        <w:t>Die I. Beschwerdekammer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