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BB.2010.110 vom 6. Dezember 2011</w:t>
      </w:r>
    </w:p>
    <w:p>
      <w:r>
        <w:t>Bundesstrafgericht, 2011-12-06, FR</w:t>
      </w:r>
    </w:p>
    <w:p>
      <w:r>
        <w:rPr>
          <w:b/>
        </w:rPr>
        <w:t xml:space="preserve">Quelle: </w:t>
      </w:r>
      <w:r>
        <w:t>https://mcp.opencaselaw.ch/entscheid/bstger_BB.2010.110</w:t>
      </w:r>
    </w:p>
    <w:p>
      <w:r>
        <w:t>FR: TPF BB.2010.110 du 6 décembre 2011</w:t>
      </w:r>
    </w:p>
    <w:p>
      <w:r>
        <w:t>IT: TPF BB.2010.110 del 6 dicembre 2011</w:t>
      </w:r>
    </w:p>
    <w:p>
      <w:pPr>
        <w:pStyle w:val="Heading2"/>
      </w:pPr>
      <w:r>
        <w:t>Regeste</w:t>
      </w:r>
    </w:p>
    <w:p>
      <w:r>
        <w:t>Déni de justice (art. 29 al. 1 Cst. en lien avec l'art. 105bis al. 2 PPF).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SOCIÉTÉ A.,</w:t>
      </w:r>
    </w:p>
    <w:p>
      <w:r>
        <w:rPr>
          <w:b/>
        </w:rPr>
        <w:t>E. 2</w:t>
      </w:r>
    </w:p>
    <w:p>
      <w:r>
        <w:t>La procédure BB.2010.110-111 est rayée du rôle.</w:t>
      </w:r>
    </w:p>
    <w:p>
      <w:r>
        <w:rPr>
          <w:b/>
        </w:rPr>
        <w:t>E. 3</w:t>
      </w:r>
    </w:p>
    <w:p>
      <w:r>
        <w:t>Il n’est pas perçu de frais.</w:t>
      </w:r>
    </w:p>
    <w:p>
      <w:r>
        <w:t>Bellinzone, le 7 décembre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Jean-François Ducrest, avocat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l'exécution de l'arrêt attaqué que si le juge instructeur l'ordonne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