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BB.2009.74 vom 31. August 2009</w:t>
      </w:r>
    </w:p>
    <w:p>
      <w:r>
        <w:t>Bundesstrafgericht, 2009-08-31, DE</w:t>
      </w:r>
    </w:p>
    <w:p>
      <w:r>
        <w:rPr>
          <w:b/>
        </w:rPr>
        <w:t xml:space="preserve">Quelle: </w:t>
      </w:r>
      <w:r>
        <w:t>https://mcp.opencaselaw.ch/entscheid/bstger_BB.2009.74</w:t>
      </w:r>
    </w:p>
    <w:p>
      <w:r>
        <w:t>FR: TPF BB.2009.74 du 31 août 2009</w:t>
      </w:r>
    </w:p>
    <w:p>
      <w:r>
        <w:t>IT: TPF BB.2009.74 del 31 agosto 2009</w:t>
      </w:r>
    </w:p>
    <w:p>
      <w:pPr>
        <w:pStyle w:val="Heading2"/>
      </w:pPr>
      <w:r>
        <w:t>Regeste</w:t>
      </w:r>
    </w:p>
    <w:p>
      <w:r>
        <w:t>Verschiebung der Einvernahme (Art. 30, 118 BStP). Aufschiebende Wirkung (Art. 218 BStP). Unentgeltliche Rechtspflege (Art. 64 Abs. 1 BGG).</w:t>
      </w:r>
    </w:p>
    <w:p>
      <w:pPr>
        <w:pStyle w:val="Heading2"/>
      </w:pPr>
      <w:r>
        <w:t>Erwägungen</w:t>
      </w:r>
    </w:p>
    <w:p>
      <w:r>
        <w:rPr>
          <w:b/>
        </w:rPr>
        <w:t>E. 14</w:t>
      </w:r>
    </w:p>
    <w:p>
      <w:r>
        <w:t>September 2006, E. 5.2, und BK_B 016/04 vom 27. Mai 2004, E. 3.5);</w:t>
      </w:r>
    </w:p>
    <w:p>
      <w:r>
        <w:t>- der Beschwerdeführer vorliegend von der Vorinstanz über die vorgesehene Zeugeneinvernahme vom 1. September 2009 rund drei Wochen vorher und mithin rechtzeitig in Kenntnis gesetzt wurde;</w:t>
      </w:r>
    </w:p>
    <w:p>
      <w:r>
        <w:t>- der Beschwerdeführer keinen Anspruch auf Verschiebung der Einvernahme vom 1. September 2009 hat;</w:t>
      </w:r>
    </w:p>
    <w:p>
      <w:r>
        <w:t>- 4 -</w:t>
      </w:r>
    </w:p>
    <w:p>
      <w:r>
        <w:t>- es dem Beschwerdeführer überlassen bleibt, ob er die ihm eingeräumte Ge- legenheit zur Teilnahme an der Einvernahme wahrnehmen will oder nicht;</w:t>
      </w:r>
    </w:p>
    <w:p>
      <w:r>
        <w:t>- der Verteidiger nach dem Grundsatz der effektiven bzw. effizienten Verteidi- gung die Interessen des Beschuldigten in ausreichender und wirksamer Wei- se wahrnehmen muss, es ihm daher obliegt, für eine angemessene Verteidi- gung des Beschwerdeführers anlässlich der Einvernahme vom 1. September 2009 besorgt zu sein;</w:t>
      </w:r>
    </w:p>
    <w:p>
      <w:r>
        <w:t>- der Grundsatz der effizienten Verteidigung die Pflicht des Verteidigers bein- haltet, bei unlösbaren Terminkollisionen für die Terminwahrung eine Stellver- tretung zu beauftragen (TPF 2008 50 S. 52);</w:t>
      </w:r>
    </w:p>
    <w:p>
      <w:r>
        <w:t>- der amtliche Verteidiger des Beschwerdeführers geltend macht, in den weni- gen Tagen zwischen dem Eingang der Vorladung und der Abreise ins Aus- land sei es nicht möglich gewesen, einen Vertreter zu organisieren und ne- ben dem Tagesgeschäft die Befragung und das Dossier soweit vorzuberei- ten, dass eine seriöse Instruktion möglich gewesen wäre; es sei zudem an- gesichts des grossen Umfanges der für die Befragung relevanten Akten für einen mit dem komplexen Fall nicht vertrauten Anwalt schlicht unmöglich, in der kurzen Zeit bis zur Befragung das Dossier alleine soweit aufzuarbeiten, dass eine reguläre Teilnahme an der Zeugenbefragung stattfinden könne (act. 1, S. 5/6);</w:t>
      </w:r>
    </w:p>
    <w:p>
      <w:r>
        <w:t>- bereits seit dem 22. März 2007 für lic. iur. Claude Schibli, Rechtsanwalt und Notar, welcher auch die vorliegende Beschwerdeschrift unterzeichnet hat, ei- ne Substitutionsvollmacht besteht, gemäss welcher dieser im Verfahren ge- gen den Beschwerdeführer befugt ist, den amtlichen Verteidiger in seiner Funktion als Strafverteidiger des Beschwerdeführers in allen Belangen und vor allen Behörden zu vertreten (act. 1.2);</w:t>
      </w:r>
    </w:p>
    <w:p>
      <w:r>
        <w:t>- mithin schon seit mehr als zwei Jahren eine entsprechende Stellvertretung besteht, daher ebenfalls von einer entsprechenden Dossiervertrautheit aus- zugehen ist und diesem seit Kenntnisnahme der Vorladung immerhin noch mehr als zwei Wochen für die Vorbereitung verblieben sind;</w:t>
      </w:r>
    </w:p>
    <w:p>
      <w:r>
        <w:t>- sich die Beschwerde nach dem Gesagten sofort im Sinne von Art. 219 Abs. 1 BStP als unbegründet erweist und ohne vorgängigen Schriftenwechsel abzu- weisen ist;</w:t>
      </w:r>
    </w:p>
    <w:p>
      <w:r>
        <w:t>- das Gesuch um aufschiebende Wirkung somit gegenstandslos wird;</w:t>
      </w:r>
    </w:p>
    <w:p>
      <w:r>
        <w:t>- 5 -</w:t>
      </w:r>
    </w:p>
    <w:p>
      <w:r>
        <w:t>- sich die Beschwerde ebenfalls als aussichtslos erweist und daher das Ge- such um Gewährung der unentgeltlichen Rechtspflege auch abzuweisen ist (Art. 245 Abs. 1 BStP i.V.m. Art. 64 Abs. 1 BGG);</w:t>
      </w:r>
    </w:p>
    <w:p>
      <w:r>
        <w:t>- bei diesem Ausgang des Verfahrens der Beschwerdeführer die Kosten zu tragen hat (Art. 245 Abs. 1 BStP i.V.m. Art. 66 Abs. 1 BGG), wobei die Ge- richtsgebühr auf Fr. 300.-- festzusetzen ist (Art. 245 Abs. 2 BStP i.V.m. Art. 3 des Reglements vom 11. Februar 2004 über die Gerichtsgebühren vor dem Bundesstrafgericht, SR 173.711.32);</w:t>
      </w:r>
    </w:p>
    <w:p>
      <w:r>
        <w:t>- vorliegend aufgrund der Aussichtslosigkeit des Rechtsbegehrens die entstan- denen Anwaltskosten nicht als notwendig anzusehen sind und daher keine Entschädigung an den amtlichen Verteidiger zu entrichten ist (Art. 2 und 3 des Reglements vom 26. September 2006 über die Entschädigungen in Ver- fahren vor dem Bundesstrafgericht, SR 173.711.31, e contrario);</w:t>
      </w:r>
    </w:p>
    <w:p>
      <w:r>
        <w:t>- 6 -</w:t>
      </w:r>
    </w:p>
    <w:p>
      <w:r>
        <w:t>und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