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BB.2009.50 vom 12. Juni 2009</w:t>
      </w:r>
    </w:p>
    <w:p>
      <w:r>
        <w:t>Bundesstrafgericht, 2009-06-12, DE</w:t>
      </w:r>
    </w:p>
    <w:p>
      <w:r>
        <w:rPr>
          <w:b/>
        </w:rPr>
        <w:t xml:space="preserve">Quelle: </w:t>
      </w:r>
      <w:r>
        <w:t>https://mcp.opencaselaw.ch/entscheid/bstger_BB.2009.50</w:t>
      </w:r>
    </w:p>
    <w:p>
      <w:r>
        <w:t>FR: TPF BB.2009.50 du 12 juin 2009</w:t>
      </w:r>
    </w:p>
    <w:p>
      <w:r>
        <w:t>IT: TPF BB.2009.50 del 12 giugno 2009</w:t>
      </w:r>
    </w:p>
    <w:p>
      <w:pPr>
        <w:pStyle w:val="Heading2"/>
      </w:pPr>
      <w:r>
        <w:t>Regeste</w:t>
      </w:r>
    </w:p>
    <w:p>
      <w:r>
        <w:t>Nichtfolgegebung (Art. 100 Abs. 3 BStP)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Februar 2004, SR 173.711.32);</w:t>
      </w:r>
    </w:p>
    <w:p>
      <w:r>
        <w:t>- die Entschädigung des amtlichen Verteidigers dessen Honorar, welches nach dem notwendigen und ausgewiesenen Zeitaufwand bemessen wird, sowie den Ersatz der notwendigen Auslagen umfasst (Art. 2 und 3 des Reglements über die Entschädigungen in Verfahren vor dem Bundesstrafgericht vom 26. September 2006, SR 173.711.31);</w:t>
      </w:r>
    </w:p>
    <w:p>
      <w:r>
        <w:t>- vorliegend aufgrund der offensichtlichen Unzulässigkeit der Beschwerde die entstandenen Anwaltskosten nicht als notwendig anzusehen sind und daher keine Entschädigung an den amtlichen Verteidiger zu entrichten ist (Art. 2 und 3 desselben Reglements e contrario);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