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BB.2009.42 vom 8. Juni 2009</w:t>
      </w:r>
    </w:p>
    <w:p>
      <w:r>
        <w:t>Bundesstrafgericht, 2009-06-08, DE</w:t>
      </w:r>
    </w:p>
    <w:p>
      <w:r>
        <w:rPr>
          <w:b/>
        </w:rPr>
        <w:t xml:space="preserve">Quelle: </w:t>
      </w:r>
      <w:r>
        <w:t>https://mcp.opencaselaw.ch/entscheid/bstger_BB.2009.42</w:t>
      </w:r>
    </w:p>
    <w:p>
      <w:r>
        <w:t>FR: TPF BB.2009.42 du 8 juin 2009</w:t>
      </w:r>
    </w:p>
    <w:p>
      <w:r>
        <w:t>IT: TPF BB.2009.42 del 8 giugno 2009</w:t>
      </w:r>
    </w:p>
    <w:p>
      <w:pPr>
        <w:pStyle w:val="Heading2"/>
      </w:pPr>
      <w:r>
        <w:t>Regeste</w:t>
      </w:r>
    </w:p>
    <w:p>
      <w:r>
        <w:t>Amtshandlung (Art. 214 Abs. 1 BStP); Akteneinsicht (Art. 116 BStP)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April 2009 aufhob und zu Gunsten der beschuldigten Parteien (neu) umfassende Einsicht in die Ton- und Bildaufzeichnungen gewährte (act. 5.3), wobei diese neue Verfügung dem Vertreter des Beschwerdefüh- rers am Morgen des 4. Mai 2009 zugestellt wurde (act. 5.6);</w:t>
      </w:r>
    </w:p>
    <w:p>
      <w:r>
        <w:t>- der Beschwerdeführer mit am Abend des 4. Mai 2009 der Post zu Handen der I. Beschwerdekammer des Bundesstrafgerichts übergebenen Be- schwerde die geschlossene Aufhebung der Verfügung vom 24. April (act. 1.1) verlangte, unter Kosten- und Entschädigungsfolgen zu Lasten des Staates (act. 1, 5.7);</w:t>
      </w:r>
    </w:p>
    <w:p>
      <w:r>
        <w:t>- das Untersuchungsrichteramt in seiner Beschwerdeantwort vom 28. Mai 2009 die Beschwerde des Beschwerdeführers als gegenstandslos erachte- te (act. 5);</w:t>
      </w:r>
    </w:p>
    <w:p>
      <w:r>
        <w:t>- 3 -</w:t>
      </w:r>
    </w:p>
    <w:p>
      <w:r>
        <w:t>- die Bundesanwaltschaft in ihrer Beschwerdeantwort vom 28. Mai 2009 be- antragte, die Beschwerde sei abzuweisen, soweit darauf einzutreten sei, unter Auferlegung der Kosten an den Beschwerdeführer (act. 6);</w:t>
      </w:r>
    </w:p>
    <w:p>
      <w:r>
        <w:t>- der Vertreter des Beschwerdeführers mit Schreiben vom 28. Mai 2009 mit- teilte, dass er die neue Verfügung des Untersuchungsrichteramtes erst zur Kenntnis genommen habe, nachdem er seine Beschwerde versandt habe (act. 7);</w:t>
      </w:r>
    </w:p>
    <w:p>
      <w:r>
        <w:t>- gegen Amtshandlungen und wegen Säumnis des Untersuchungsrichters die Beschwerde zulässig ist, wobei diese den Parteien und einem jeden zusteht, der durch eine Verfügung oder durch die Säumnis des Untersu- chungsrichters einen ungerechtfertigten Nachteil erleidet (Art. 214 BStP);</w:t>
      </w:r>
    </w:p>
    <w:p>
      <w:r>
        <w:t>- die Ausführungen des Beschwerdeführers unter lit. B. Ziff. 1 seiner Be- schwerdebegründung haltlos sind, da sowohl anhand des Antrags der Bundesanwaltschaft vom 31. Dezember 2008 – trotz des Fehlers bei der Nummerierung – sowie vor allem aus der Begründung der angefochtenen Verfügung genügend klar wird, dass die Bundesanwaltschaft zwei ver- schiedene Anträge gestellt hat, und zudem die Begründung es ermöglicht, die Tragweite des Dispositivs mit der Formulierung „im Sinne der Erwägun- gen“ zu erkennen;</w:t>
      </w:r>
    </w:p>
    <w:p>
      <w:r>
        <w:t>- sofern der Beschwerdeführer die durch Ziffer 1 des Dispositivs der ange- fochtenen Verfügung angeordnete Einschränkung seiner Einsichtsrechte rügt, die Beschwerde durch die neuerliche Verfügung des Untersuchungs- richteramtes vom 1. Mai 2009 von Beginn weg gegenstandslos war;</w:t>
      </w:r>
    </w:p>
    <w:p>
      <w:r>
        <w:t>- nicht ersichtlich ist, inwiefern dem Beschwerdeführer hinsichtlich der eben- falls angefochtenen Ziffer 2 des Dispositivs ein ungerechtfertigter Nachteil entstehen soll und es ihm somit diesbezüglich an der Beschwerdelegitima- tion fehlt;</w:t>
      </w:r>
    </w:p>
    <w:p>
      <w:r>
        <w:t>- bei diesem Ausgang des Verfahrens der Beschwerdeführer die Gerichts- kosten zu tragen hat (Art. 245 Abs. 1 BStP i.V.m. Art. 66 Abs. 1 BGG), wo- bei die Gerichtsgebühr vorliegend auf Fr. 500.-- festgesetzt wird (Art. 245 Abs. 2 BStP und Art. 3 des Reglements vom 11. Februar 2004 über die Ge- richtsgebühren vor dem Bundesstrafgericht; SR 173.711.32), unter An- rechnung des geleisteten Kostenvorschusses von Fr. 1'500.-- bzw. unter Rückerstattung von Fr. 1'000.-- an den Beschwerdeführer;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