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BB.2009.39 vom 17. Juni 2009</w:t>
      </w:r>
    </w:p>
    <w:p>
      <w:r>
        <w:t>Bundesstrafgericht, 2009-06-17, DE</w:t>
      </w:r>
    </w:p>
    <w:p>
      <w:r>
        <w:rPr>
          <w:b/>
        </w:rPr>
        <w:t xml:space="preserve">Quelle: </w:t>
      </w:r>
      <w:r>
        <w:t>https://mcp.opencaselaw.ch/entscheid/bstger_BB.2009.39</w:t>
      </w:r>
    </w:p>
    <w:p>
      <w:r>
        <w:t>FR: TPF BB.2009.39 du 17 juin 2009</w:t>
      </w:r>
    </w:p>
    <w:p>
      <w:r>
        <w:t>IT: TPF BB.2009.39 del 17 giugno 2009</w:t>
      </w:r>
    </w:p>
    <w:p>
      <w:pPr>
        <w:pStyle w:val="Heading2"/>
      </w:pPr>
      <w:r>
        <w:t>Regeste</w:t>
      </w:r>
    </w:p>
    <w:p>
      <w:r>
        <w:t>Säumnis (Art. 105bis Abs. 2 BStP)</w:t>
      </w:r>
    </w:p>
    <w:p>
      <w:pPr>
        <w:pStyle w:val="Heading2"/>
      </w:pPr>
      <w:r>
        <w:t>Volltext</w:t>
      </w:r>
    </w:p>
    <w:p>
      <w:r>
        <w:t>Entscheid vom 17. Juni 2009 I. Beschwerdekammer Besetzung</w:t>
      </w:r>
    </w:p>
    <w:p>
      <w:r>
        <w:t>Bundesstrafrichter Emanuel Hochstrasser, Vorsitz, Tito Ponti und Alex Staub, Gerichtsschreiber Stefan Graf</w:t>
      </w:r>
    </w:p>
    <w:p>
      <w:r>
        <w:t>Parteien</w:t>
      </w:r>
    </w:p>
    <w:p>
      <w:r>
        <w:t>1. A., 2. B., 3. C.,</w:t>
      </w:r>
    </w:p>
    <w:p>
      <w:r>
        <w:t>alle vertreten durch Advokat Stefan Suter,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Säumnis (Art. 105bis Abs. 2 BStP)</w:t>
      </w:r>
    </w:p>
    <w:p>
      <w:r>
        <w:t>B u n d e s s t r a f g e r i c h t T r i b u n a l p é n a l f é d é r a l T r i b u n a l e p e n a l e f e d e r a l e T r i b u n a l p e n a l f e d e r a l Geschäftsnummer: BB.2009.39, BB.2009.40, BB.2009.41</w:t>
      </w:r>
    </w:p>
    <w:p>
      <w:r>
        <w:t>- 2 -</w:t>
      </w:r>
    </w:p>
    <w:p>
      <w:r>
        <w:t>Die I. Beschwerdekammer zieht in Erwägung, dass:</w:t>
      </w:r>
    </w:p>
    <w:p>
      <w:r>
        <w:t>- die Beschwerdegegnerin gegen D. und weitere Mitbeschuldigte ein ge- richtspolizeiliches Ermittlungsverfahren führte u. a. wegen des Verdachts des gewerbsmässigen Betruges;</w:t>
      </w:r>
    </w:p>
    <w:p>
      <w:r>
        <w:t>- D. am 5. Januar 2009 verstorben ist (act. 1.1);</w:t>
      </w:r>
    </w:p>
    <w:p>
      <w:r>
        <w:t>- hierauf der Vertreter der Beschwerdeführer als Erben bei der Beschwerde- gegnerin die Einstellung des Strafverfahrens und die Herausgabe der durch D. geleisteten Kaution verlangte (act. 1.1);</w:t>
      </w:r>
    </w:p>
    <w:p>
      <w:r>
        <w:t>- der Vertreter der Beschwerdeführer der Beschwerdegegnerin am 10. Feb- ruar 2009 die entsprechenden Vertretungsvollmachten zugehen liess und erneut um Zustellung des Einstellungsbeschlusses und um Überweisung der Kaution ersuchte (act. 1.2);</w:t>
      </w:r>
    </w:p>
    <w:p>
      <w:r>
        <w:t>- die Beschwerdeführer mit Beschwerde vom 27. April 2009 an die I. Be- schwerdekammer des Bundesstrafgerichts gelangten und beantragten, es sei festzustellen, dass sich die Beschwerdegegnerin einer Rechtsverzöge- rung/-verweigerung schuldig gemacht habe, und es sei die Beschwerde- gegnerin anzuweisen, umgehend einen Einstellungsbeschluss auszuferti- gen, unter Kosten- und Entschädigungsfolge (act. 1);</w:t>
      </w:r>
    </w:p>
    <w:p>
      <w:r>
        <w:t>- die Beschwerdeführer mit Eingabe vom 15. Juni 2009 ihre Beschwerde zu- rückzogen bzw. von dieser Abstand nahmen, wobei sie die I. Beschwerde- kammer ersuchten, von Gerichtskosten abzusehen (act. 5);</w:t>
      </w:r>
    </w:p>
    <w:p>
      <w:r>
        <w:t>- der Abstand einer Partei gemäss Art. 30 SGG i.V.m. Art. 245 Abs. 1 BStP i.V.m. Art. 62 ff. BGG i.V.m. Art. 73 Abs. 1 BZP den Rechtsstreit sofort be- endet (vgl. Entscheid des Bundesstrafgerichts BB.2006.13 vom 10. April 2006 m.w.H.);</w:t>
      </w:r>
    </w:p>
    <w:p>
      <w:r>
        <w:t>- das Beschwerdeverfahren somit zufolge Abstands abgeschrieben werden kann, wobei die den Abstand erklärende Partei als unterliegende Partei im Sinne des Art. 245 Abs. 1 BStP i.V.m. Art. 66 Abs. 1 BGG gilt;</w:t>
      </w:r>
    </w:p>
    <w:p>
      <w:r>
        <w:t>- bei diesem Ausgang des Verfahrens die Beschwerdeführer gemeinsam un- ter solidarischer Haftbarkeit die Gerichtskosten zu tragen haben (Art. 245 Abs. 1 BStP i.V.m. Art. 66 Abs. 1 BGG), wobei die Gerichtsgebühr vorlie-</w:t>
      </w:r>
    </w:p>
    <w:p>
      <w:r>
        <w:t>- 3 -</w:t>
      </w:r>
    </w:p>
    <w:p>
      <w:r>
        <w:t>gend auf Fr. 200.-- festgesetzt wird (Art. 245 Abs. 2 BStP und Art. 3 des Reglements vom 11. Februar 2004 über die Gerichtsgebühren vor dem Bundesstrafgericht; SR 173.711.32);</w:t>
      </w:r>
    </w:p>
    <w:p>
      <w:r>
        <w:t>- 4 -</w:t>
      </w:r>
    </w:p>
    <w:p>
      <w:r>
        <w:t>und erkennt:</w:t>
      </w:r>
    </w:p>
    <w:p>
      <w:r>
        <w:t>1. Das Verfahren wird zufolge Abstands der Beschwerdeführer als erledigt von der Geschäftskontrolle abgeschrieben.</w:t>
      </w:r>
    </w:p>
    <w:p>
      <w:r>
        <w:t>2. Die Gerichtsgebühr von Fr. 200.-- wird den Beschwerdeführern unter solida- rischer Haftbarkeit zur Bezahlung auferlegt.</w:t>
      </w:r>
    </w:p>
    <w:p>
      <w:r>
        <w:t>Bellinzona, 18. Juni 2009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Advokat Stefan Suter - Bundesanwaltschaft (unter Beilage einer Kopie von act. 5)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