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BB.2009.34 vom 14. April 2009</w:t>
      </w:r>
    </w:p>
    <w:p>
      <w:r>
        <w:t>Bundesstrafgericht, 2009-04-14, DE</w:t>
      </w:r>
    </w:p>
    <w:p>
      <w:r>
        <w:rPr>
          <w:b/>
        </w:rPr>
        <w:t xml:space="preserve">Quelle: </w:t>
      </w:r>
      <w:r>
        <w:t>https://mcp.opencaselaw.ch/entscheid/bstger_BB.2009.34</w:t>
      </w:r>
    </w:p>
    <w:p>
      <w:r>
        <w:t>FR: TPF BB.2009.34 du 14 avril 2009</w:t>
      </w:r>
    </w:p>
    <w:p>
      <w:r>
        <w:t>IT: TPF BB.2009.34 del 14 aprile 2009</w:t>
      </w:r>
    </w:p>
    <w:p>
      <w:pPr>
        <w:pStyle w:val="Heading2"/>
      </w:pPr>
      <w:r>
        <w:t>Regeste</w:t>
      </w:r>
    </w:p>
    <w:p>
      <w:r>
        <w:t>Auslagen (Art. 246 BStP)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Februar 2009 eine Entschädigung von Fr. 191.40 bzw. für seine Ein- vernahme als Auskunftsperson beim Untersuchungsrichteramt vom 16. März 2009 keine Entschädigung auszurichten (act. 3);</w:t>
      </w:r>
    </w:p>
    <w:p>
      <w:r>
        <w:t>- der Beschwerdeführer hiergegen mit Beschwerde vom 30. März 2009 an die I. Beschwerdekammer des Bundesstrafgerichts gelangte und um Aus- richtung einer Entschädigung für die Einvernahmen als Auskunftsperson vom 26. Februar 2009 und vom 16. März 2009, und zwar im Ausmass des tatsächlichen Erwerbsausfalls zuzüglich 7.6 % MwSt. und Auslagen, er- suchte (act. 1);</w:t>
      </w:r>
    </w:p>
    <w:p>
      <w:r>
        <w:t>- der Beschwerdeführer mit Schreiben vom 9. April 2009 seine Beschwerde zurückzog bzw. von dieser Abstand nahm (act. 6);</w:t>
      </w:r>
    </w:p>
    <w:p>
      <w:r>
        <w:t>- der Abstand einer Partei gemäss Art. 30 SGG i.V.m. Art. 245 Abs. 1 BStP i.V.m. Art. 62 ff. BGG i.V.m. Art. 73 Abs. 1 BZP den Rechtsstreit sofort be- endet (vgl. TPF BB.2006.13 vom 10. April 2006 m.w.H.);</w:t>
      </w:r>
    </w:p>
    <w:p>
      <w:r>
        <w:t>- das Beschwerdeverfahren somit zufolge Abstands abgeschrieben werden kann, wobei die den Abstand erklärende Partei als unterliegende Partei im Sinne des Art. 245 Abs. 1 BStP i.V.m. Art. 66 Abs. 1 BGG gilt;</w:t>
      </w:r>
    </w:p>
    <w:p>
      <w:r>
        <w:t>- bei diesem Ausgang des Verfahrens der Beschwerdeführer die Gerichts- kosten zu tragen hat (Art. 245 Abs. 1 BStP i.V.m. Art. 66 Abs. 1 BGG), wo- bei die Gerichtsgebühr vorliegend auf Fr. 200.-- festgesetzt wird (Art. 245 Abs. 2 BStP und Art. 3 des Reglements vom 11. Februar 2004 über die Ge- richtsgebühren vor dem Bundesstrafgericht; SR 173.711.32);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