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BB.2008.9 vom 20. März 2008</w:t>
      </w:r>
    </w:p>
    <w:p>
      <w:r>
        <w:t>Bundesstrafgericht, 2008-03-20, FR</w:t>
      </w:r>
    </w:p>
    <w:p>
      <w:r>
        <w:rPr>
          <w:b/>
        </w:rPr>
        <w:t xml:space="preserve">Quelle: </w:t>
      </w:r>
      <w:r>
        <w:t>https://mcp.opencaselaw.ch/entscheid/bstger_BB.2008.9</w:t>
      </w:r>
    </w:p>
    <w:p>
      <w:r>
        <w:t>FR: TPF BB.2008.9 du 20 mars 2008</w:t>
      </w:r>
    </w:p>
    <w:p>
      <w:r>
        <w:t>IT: TPF BB.2008.9 del 20 marzo 2008</w:t>
      </w:r>
    </w:p>
    <w:p>
      <w:pPr>
        <w:pStyle w:val="Heading2"/>
      </w:pPr>
      <w:r>
        <w:t>Regeste</w:t>
      </w:r>
    </w:p>
    <w:p>
      <w:r>
        <w:t>Suspension (art. 106 al. 1bis PPF)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plainte est irrecevable.</w:t>
      </w:r>
    </w:p>
    <w:p>
      <w:r>
        <w:rPr>
          <w:b/>
        </w:rPr>
        <w:t>E. 2</w:t>
      </w:r>
    </w:p>
    <w:p>
      <w:r>
        <w:t>Un émolument de Fr. 200.-- est mis à la charge du plaignant.</w:t>
      </w:r>
    </w:p>
    <w:p>
      <w:r>
        <w:t>Bellinzone, le 20 mars 2008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A. - Ministère public de la Confédération</w:t>
      </w:r>
    </w:p>
    <w:p>
      <w:r>
        <w:t>Indication des voies de recours Il n’existe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