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BB.2008.62 vom 24. Juli 2008</w:t>
      </w:r>
    </w:p>
    <w:p>
      <w:r>
        <w:t>Bundesstrafgericht, 2008-07-24, IT</w:t>
      </w:r>
    </w:p>
    <w:p>
      <w:r>
        <w:rPr>
          <w:b/>
        </w:rPr>
        <w:t xml:space="preserve">Quelle: </w:t>
      </w:r>
      <w:r>
        <w:t>https://mcp.opencaselaw.ch/entscheid/bstger_BB.2008.62</w:t>
      </w:r>
    </w:p>
    <w:p>
      <w:r>
        <w:t>FR: TPF BB.2008.62 du 24 juillet 2008</w:t>
      </w:r>
    </w:p>
    <w:p>
      <w:r>
        <w:t>IT: TPF BB.2008.62 del 24 luglio 2008</w:t>
      </w:r>
    </w:p>
    <w:p>
      <w:pPr>
        <w:pStyle w:val="Heading2"/>
      </w:pPr>
      <w:r>
        <w:t>Regeste</w:t>
      </w:r>
    </w:p>
    <w:p>
      <w:r>
        <w:t>Reclamo contro atti od omissioni del Giudice istruttore federale (art. 214 cpv. 1 PP)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aprile 2006 e i riferimenti ivi citati); che, pertanto, la domanda di conferimento dell’effetto sospensivo diviene priva d’oggetto; che, premesso quanto sopra, la causa è stralciata dai ruoli;</w:t>
      </w:r>
    </w:p>
    <w:p>
      <w:r>
        <w:t>- 3 -</w:t>
      </w:r>
    </w:p>
    <w:p>
      <w:r>
        <w:t>che la parte che ha dichiarato la propria desistenza vale quale parte soc- combente ai sensi dell’art. 245 cpv. 1 PP in combinazione con l’art. 66 cpv. 1 LTF; che conformemente all’art. 66 cpv. 1 LTF, applicabile in virtù dell’art. 245 PP, le spese processuali sono, di regola, poste a carico della parte soccom- bente; che all’autorità che soccombe non vengono addossate spese giudiziarie (art. 66 cpv. 4 LTF); che quale parte soccombente, l’UGIF è invece tenuto a risarcire ai recla- manti le spese necessarie causate dalla controversia (art. 68 cpv. 2 LTF); che, in concreto, tenuto conto del presumibile e necessario dispendio causa- to dalla presente procedura, viene posta a carico dell’UGIF un’indennità for- fetaria (IVA inclusa) di fr. 500.--, a titolo di spese ripetibili;</w:t>
      </w:r>
    </w:p>
    <w:p>
      <w:r>
        <w:t>- 4 -</w:t>
      </w:r>
    </w:p>
    <w:p>
      <w:r>
        <w:t>Per questi motivi, la 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