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BB.2008.60 vom 24. Juli 2008</w:t>
      </w:r>
    </w:p>
    <w:p>
      <w:r>
        <w:t>Bundesstrafgericht, 2008-07-24, IT</w:t>
      </w:r>
    </w:p>
    <w:p>
      <w:r>
        <w:rPr>
          <w:b/>
        </w:rPr>
        <w:t xml:space="preserve">Quelle: </w:t>
      </w:r>
      <w:r>
        <w:t>https://mcp.opencaselaw.ch/entscheid/bstger_BB.2008.60</w:t>
      </w:r>
    </w:p>
    <w:p>
      <w:r>
        <w:t>FR: TPF BB.2008.60 du 24 juillet 2008</w:t>
      </w:r>
    </w:p>
    <w:p>
      <w:r>
        <w:t>IT: TPF BB.2008.60 del 24 luglio 2008</w:t>
      </w:r>
    </w:p>
    <w:p>
      <w:pPr>
        <w:pStyle w:val="Heading2"/>
      </w:pPr>
      <w:r>
        <w:t>Regeste</w:t>
      </w:r>
    </w:p>
    <w:p>
      <w:r>
        <w:t>Reclamo contro atti od omissioni del Giudice istruttore federale (art. 214 cpv. 1 PP)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aprile 2006 e i riferimenti ivi citati); che, pertanto, la domanda di conferimento dell’effetto sospensivo diviene priva d’oggetto; che, premesso quanto sopra, la causa è stralciata dai ruoli; che la parte che ha dichiarato la propria desistenza vale quale parte soc- combente ai sensi dell’art. 245 cpv. 1 PP in combinazione con l’art. 66 cpv. 1 LTF; che conformemente all’art. 66 cpv. 1 LTF, applicabile in virtù dell’art. 245 PP, le spese processuali sono, di regola, poste a carico della parte soccom- bente; che all’autorità che soccombe non vengono addossate spese giudiziarie (art. 66 cpv. 4 LTF); che quale parte soccombente, l’UGIF è invece tenuto a risarcire ai recla- manti le spese necessarie causate dalla controversia (art. 68 cpv. 2 LTF); che, in concreto, tenuto conto del presumibile e necessario dispendio causa- to dalla presente procedura, viene posta a carico dell’UGIF un’indennità for- fetaria (IVA inclusa) di fr. 500.--, a titolo di spese ripetibili; che ai reclamanti è restituito l’anticipo delle spese di fr. 1'500.--, versato in pendenza di causa;</w:t>
      </w:r>
    </w:p>
    <w:p>
      <w:r>
        <w:t>- 4 -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