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BB.2008.35 vom 14. April 2008</w:t>
      </w:r>
    </w:p>
    <w:p>
      <w:r>
        <w:t>Bundesstrafgericht, 2008-04-14, DE</w:t>
      </w:r>
    </w:p>
    <w:p>
      <w:r>
        <w:rPr>
          <w:b/>
        </w:rPr>
        <w:t xml:space="preserve">Quelle: </w:t>
      </w:r>
      <w:r>
        <w:t>https://mcp.opencaselaw.ch/entscheid/bstger_BB.2008.35</w:t>
      </w:r>
    </w:p>
    <w:p>
      <w:r>
        <w:t>FR: TPF BB.2008.35 du 14 avril 2008</w:t>
      </w:r>
    </w:p>
    <w:p>
      <w:r>
        <w:t>IT: TPF BB.2008.35 del 14 aprile 2008</w:t>
      </w:r>
    </w:p>
    <w:p>
      <w:pPr>
        <w:pStyle w:val="Heading2"/>
      </w:pPr>
      <w:r>
        <w:t>Regeste</w:t>
      </w:r>
    </w:p>
    <w:p>
      <w:r>
        <w:t>Verschiebung der Einvernahme (Art. 214 Abs. 1 BStP), aufschiebende Wirkung (Art. 218 BStP)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September 2006 E. 5.2; TPF BB.2006.63 vom 20. September 2006 und BK_B 016/04 vom 27. Mai 2004 E. 3.5);</w:t>
      </w:r>
    </w:p>
    <w:p>
      <w:r>
        <w:t>- dieser Grundsatz indessen dem Untersuchungsrichter die Möglichkeit offen lässt, je nach Begründetheit des Verschiebungsgesuches einzelfallgerecht und mit der nötigen Flexibilität zu entscheiden;</w:t>
      </w:r>
    </w:p>
    <w:p>
      <w:r>
        <w:t>- 4 -</w:t>
      </w:r>
    </w:p>
    <w:p>
      <w:r>
        <w:t>- A. vorliegend vom Untersuchungsrichteramt über die vorgesehene Einver- nahme vom 23. April 2008 rund vier Wochen vorher und mithin rechtzeitig in Kenntnis gesetzt wurde;</w:t>
      </w:r>
    </w:p>
    <w:p>
      <w:r>
        <w:t>- A. keinen Anspruch auf Verschiebung der Einvernahme vom 23. April 2008 hat, zumal eine Einvernahme keiner besonderen Vorbereitung - insbesonde- re auch nicht des Verteidigers - bedarf;</w:t>
      </w:r>
    </w:p>
    <w:p>
      <w:r>
        <w:t>- der Verteidiger nach dem Grundsatz der effektiven bzw. effizienten Verteidi- gung die Interessen des Angeschuldigten in ausreichender und wirksamer Weise wahrnehmen muss, es ihm daher obliegt, für eine angemessene Ver- teidigung von A. anlässlich der Einvernahme vom 23. April 2008 besorgt zu sein;</w:t>
      </w:r>
    </w:p>
    <w:p>
      <w:r>
        <w:t>- der Grundsatz der effizienten Verteidigung die Pflicht des Verteidigers bein- haltet, bei unlösbaren Terminkollisionen für die Terminwahrung eine Stellver- tretung zu beauftragen, wozu er vorliegend gemäss des mit dem Beschuldig- ten abgeschlossenen Auftragsverhältnisses ausdrücklich ermächtigt ist (act. 1.1);</w:t>
      </w:r>
    </w:p>
    <w:p>
      <w:r>
        <w:t>- sich die Beschwerde nach dem Gesagten sofort als unbegründet erweist und ohne vorgängigen Schriftenwechsel abzuweisen ist (Art. 219 Abs. 1 BStP);</w:t>
      </w:r>
    </w:p>
    <w:p>
      <w:r>
        <w:t>- das Gesuch um aufschiebende Wirkung bzw. vorsorgliche Terminaufhebung somit gegenstandslos wird;</w:t>
      </w:r>
    </w:p>
    <w:p>
      <w:r>
        <w:t>- bei diesem Ausgang des Verfahrens der Beschwerdeführer die Gerichtskos- ten zu tragen hat (Art. 245 Abs. 1 BStP i.V.m. Art. 66 Abs. 1 BGG), wobei die Gerichtsgebühr auf Fr. 500.-- festgesetzt wird (Art. 3 des Reglements vom 11. Februar 2004 über die Gerichtsgebühren vor dem Bundesstrafgericht; SR 173.711.32).</w:t>
      </w:r>
    </w:p>
    <w:p>
      <w:r>
        <w:t>- 5 -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