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BB.2008.28 vom 4. Juni 2008</w:t>
      </w:r>
    </w:p>
    <w:p>
      <w:r>
        <w:t>Bundesstrafgericht, 2008-06-04, DE</w:t>
      </w:r>
    </w:p>
    <w:p>
      <w:r>
        <w:rPr>
          <w:b/>
        </w:rPr>
        <w:t xml:space="preserve">Quelle: </w:t>
      </w:r>
      <w:r>
        <w:t>https://mcp.opencaselaw.ch/entscheid/bstger_BB.2008.28</w:t>
      </w:r>
    </w:p>
    <w:p>
      <w:r>
        <w:t>FR: TPF BB.2008.28 du 4 juin 2008</w:t>
      </w:r>
    </w:p>
    <w:p>
      <w:r>
        <w:t>IT: TPF BB.2008.28 del 4 giugno 2008</w:t>
      </w:r>
    </w:p>
    <w:p>
      <w:pPr>
        <w:pStyle w:val="Heading2"/>
      </w:pPr>
      <w:r>
        <w:t>Regeste</w:t>
      </w:r>
    </w:p>
    <w:p>
      <w:r>
        <w:t>Beschlagnahme (Art. 65 BStP)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Eventualiter sei für den Fall, dass an der verfügten Beschlagnahme vollumfänglich fest- gehalten werden sollte, der Bundesanwaltschaft eine kurz bemessene Frist von maximal einer Woche zur Überprüfung des Aufrechterhaltens an der Beschlagnahme einzuräu- men.</w:t>
      </w:r>
    </w:p>
    <w:p>
      <w:r>
        <w:rPr>
          <w:b/>
        </w:rPr>
        <w:t>E. 6</w:t>
      </w:r>
    </w:p>
    <w:p>
      <w:r>
        <w:t>Bei diesem Ausgang des Verfahrens haben die Beschwerdeführer die Ge- richtskosten zu tragen (Art. 245 Abs. 1 BStP i.V.m. Art. 66 Abs. 1 BGG). Die Gerichtsgebühr wird für das Beschwerdeverfahren sowie die mit Verfü- gung vom 7. April 2008 (act. 10) erledigten Nebenverfahren auf Fr. 2'000.-- festgesetzt (Art. 245 Abs. 2 BStP und Art. 3 des Reglements vom 11. Feb- ruar 2004 über die Gerichtsgebühren vor dem Bundesstrafgericht, SR 173.711.32), unter Anrechnung des geleisteten Kostenvorschusses in der Höhe von Fr. 3'000.--. Die Bundesstrafgerichtskasse wird angewiesen, den Beschwerdeführern Fr. 1'000.-- zurückzuerstatten.</w:t>
      </w:r>
    </w:p>
    <w:p>
      <w:r>
        <w:t>- 12 -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