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BB.2008.16 vom 28. April 2008</w:t>
      </w:r>
    </w:p>
    <w:p>
      <w:r>
        <w:t>Bundesstrafgericht, 2008-04-28, FR</w:t>
      </w:r>
    </w:p>
    <w:p>
      <w:r>
        <w:rPr>
          <w:b/>
        </w:rPr>
        <w:t xml:space="preserve">Quelle: </w:t>
      </w:r>
      <w:r>
        <w:t>https://mcp.opencaselaw.ch/entscheid/bstger_BB.2008.16</w:t>
      </w:r>
    </w:p>
    <w:p>
      <w:r>
        <w:t>FR: TPF BB.2008.16 du 28 avril 2008</w:t>
      </w:r>
    </w:p>
    <w:p>
      <w:r>
        <w:t>IT: TPF BB.2008.16 del 28 aprile 2008</w:t>
      </w:r>
    </w:p>
    <w:p>
      <w:pPr>
        <w:pStyle w:val="Heading2"/>
      </w:pPr>
      <w:r>
        <w:t>Regeste</w:t>
      </w:r>
    </w:p>
    <w:p>
      <w:r>
        <w:t>Séquestre (art. 65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procédure est rayée du rôle.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Les avances de frais de Fr. 1'500.-- versées par chacun des plaignants leur sont restituées.</w:t>
      </w:r>
    </w:p>
    <w:p>
      <w:r>
        <w:rPr>
          <w:b/>
        </w:rPr>
        <w:t>E. 4</w:t>
      </w:r>
    </w:p>
    <w:p>
      <w:r>
        <w:t>Une indemnité de Fr. 1'000.-- (TVA comprise) est allouée aux plaignants, à la charge du Ministère public de la Confédération.</w:t>
      </w:r>
    </w:p>
    <w:p>
      <w:r>
        <w:t>Bellinzone, le 28 avril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Reza Vafadar, avocat - Ministère public de la Confédération</w:t>
      </w:r>
    </w:p>
    <w:p>
      <w:r>
        <w:t>Indication des voies de recours Dans les 30 jours qui suivent leur notification, les arrêts de la Ire Cour des plaintes relatifs aux me- sures de contrainte sont sujets à recours devant le Tribunal fédéral (art. 79 et 100 al. 1 de la loi fé- 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