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BB.2008.12 vom 20. März 2008</w:t>
      </w:r>
    </w:p>
    <w:p>
      <w:r>
        <w:t>Bundesstrafgericht, 2008-03-20, FR</w:t>
      </w:r>
    </w:p>
    <w:p>
      <w:r>
        <w:rPr>
          <w:b/>
        </w:rPr>
        <w:t xml:space="preserve">Quelle: </w:t>
      </w:r>
      <w:r>
        <w:t>https://mcp.opencaselaw.ch/entscheid/bstger_BB.2008.12</w:t>
      </w:r>
    </w:p>
    <w:p>
      <w:r>
        <w:t>FR: TPF BB.2008.12 du 20 mars 2008</w:t>
      </w:r>
    </w:p>
    <w:p>
      <w:r>
        <w:t>IT: TPF BB.2008.12 del 20 marzo 2008</w:t>
      </w:r>
    </w:p>
    <w:p>
      <w:pPr>
        <w:pStyle w:val="Heading2"/>
      </w:pPr>
      <w:r>
        <w:t>Regeste</w:t>
      </w:r>
    </w:p>
    <w:p>
      <w:r>
        <w:t>production de documents, interdiction d'informer et demande d'effet suspensif (art. 101 al. 2, 65, 69 à 71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Devenues sans objet, les procédures sont rayées du rôle.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Les avances de frais de Fr. 3'000.-- au total versées par la plaignante lui sont resti- tuées par la caisse du Tribunal pénal fédéral.</w:t>
      </w:r>
    </w:p>
    <w:p>
      <w:r>
        <w:t>Bellinzone, le 20 mars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Banque A.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