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BB.2008.10 vom 15. Mai 2008</w:t>
      </w:r>
    </w:p>
    <w:p>
      <w:r>
        <w:t>Bundesstrafgericht, 2008-05-15, FR</w:t>
      </w:r>
    </w:p>
    <w:p>
      <w:r>
        <w:rPr>
          <w:b/>
        </w:rPr>
        <w:t xml:space="preserve">Quelle: </w:t>
      </w:r>
      <w:r>
        <w:t>https://mcp.opencaselaw.ch/entscheid/bstger_BB.2008.10</w:t>
      </w:r>
    </w:p>
    <w:p>
      <w:r>
        <w:t>FR: TPF BB.2008.10 du 15 mai 2008</w:t>
      </w:r>
    </w:p>
    <w:p>
      <w:r>
        <w:t>IT: TPF BB.2008.10 del 15 maggio 2008</w:t>
      </w:r>
    </w:p>
    <w:p>
      <w:pPr>
        <w:pStyle w:val="Heading2"/>
      </w:pPr>
      <w:r>
        <w:t>Regeste</w:t>
      </w:r>
    </w:p>
    <w:p>
      <w:r>
        <w:t>Séquestre (art. 65 al. 1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plainte, devenue sans objet, est rayée du rôle.</w:t>
      </w:r>
    </w:p>
    <w:p>
      <w:r>
        <w:rPr>
          <w:b/>
        </w:rPr>
        <w:t>E. 2</w:t>
      </w:r>
    </w:p>
    <w:p>
      <w:r>
        <w:t>Un émolument réduit de Fr. 1'500.--, réputé couvert par l’avance de frais versée, est mis à la charge solidaire des plaignantes.</w:t>
      </w:r>
    </w:p>
    <w:p>
      <w:r>
        <w:rPr>
          <w:b/>
        </w:rPr>
        <w:t>E. 3</w:t>
      </w:r>
    </w:p>
    <w:p>
      <w:r>
        <w:t>Une indemnité de Fr. 750.-- (TVA comprise) est allouée aux plaignantes, à la charge du Ministère public de la Confédération.</w:t>
      </w:r>
    </w:p>
    <w:p>
      <w:r>
        <w:t>Bellinzone, le 20 mai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Pierre Schifferli et Me Reza Vafadar, avocats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