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BB.2007.70 vom 14. Dezember 2007</w:t>
      </w:r>
    </w:p>
    <w:p>
      <w:r>
        <w:t>Bundesstrafgericht, 2007-12-14, DE</w:t>
      </w:r>
    </w:p>
    <w:p>
      <w:r>
        <w:rPr>
          <w:b/>
        </w:rPr>
        <w:t xml:space="preserve">Quelle: </w:t>
      </w:r>
      <w:r>
        <w:t>https://mcp.opencaselaw.ch/entscheid/bstger_BB.2007.70</w:t>
      </w:r>
    </w:p>
    <w:p>
      <w:r>
        <w:t>FR: TPF BB.2007.70 du 14 décembre 2007</w:t>
      </w:r>
    </w:p>
    <w:p>
      <w:r>
        <w:t>IT: TPF BB.2007.70 del 14 dicembre 2007</w:t>
      </w:r>
    </w:p>
    <w:p>
      <w:pPr>
        <w:pStyle w:val="Heading2"/>
      </w:pPr>
      <w:r>
        <w:t>Regeste</w:t>
      </w:r>
    </w:p>
    <w:p>
      <w:r>
        <w:t>Editionsaufforderung (Art. 105bis Abs. 2 BStP) und aufschiebende Wirkung (Art. 218 BStP)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Januar 2006 m.w.H.);</w:t>
      </w:r>
    </w:p>
    <w:p>
      <w:r>
        <w:t>- diesfalls von der Bundesanwaltschaft ein Entsiegelungsverfahren einzuleiten ist (Art. 69 Abs. 3 BStP), wobei der einsprechende vormalige Inhaber der Un- terlagen das entsprechende Kostenrisiko trägt;</w:t>
      </w:r>
    </w:p>
    <w:p>
      <w:r>
        <w:t>- die Versiegelung und Aufbewahrung der Papiere an einem sicheren Ort dabei noch keine beschwerdefähige Zwangsmassnahme darstellt (TPF BB.2006.52 vom 20. Februar 2007 E. 2.2 m.w.H.);</w:t>
      </w:r>
    </w:p>
    <w:p>
      <w:r>
        <w:t>- 3 -</w:t>
      </w:r>
    </w:p>
    <w:p>
      <w:r>
        <w:t>- die Beschwerdeführerin in Berücksichtigung der genannten Rechtsprechung durch die Editionsaufforderung allein noch nicht im rechtlichen Sinne be- schwert ist, weshalb auf die Beschwerde nicht eingetreten werden kann (TPF BB.2007.48 vom 30. Juli 2007, BB.2006.52 vom 20. Februar 2007 E. 2.2);</w:t>
      </w:r>
    </w:p>
    <w:p>
      <w:r>
        <w:t>- sich die Beschwerde nach dem Gesagten sofort als unzulässig erweist, wes- wegen auf die Einholung von Stellungnahmen verzichtet wurde (Art. 219 Abs. 1 BStP);</w:t>
      </w:r>
    </w:p>
    <w:p>
      <w:r>
        <w:t>- das Gesuch um Erteilung der aufschiebenden Wirkung damit hinfällig wird;</w:t>
      </w:r>
    </w:p>
    <w:p>
      <w:r>
        <w:t>- bei diesem Ausgang des Verfahrens die Beschwerdeführerin die Gerichtsge- bühr von Fr. 500.-- zu tragen hat (Art. 245 Abs. 1 i.V.m. Art. 66 Abs. 1 BGG sowie Art. 3 des Reglements über die Gerichtsgebühren vor dem Bundes- strafgericht vom 11. Februar 2004);</w:t>
      </w:r>
    </w:p>
    <w:p>
      <w:r>
        <w:t>- 4 -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