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BB.2007.69 vom 28. Januar 2008</w:t>
      </w:r>
    </w:p>
    <w:p>
      <w:r>
        <w:t>Bundesstrafgericht, 2008-01-28, IT</w:t>
      </w:r>
    </w:p>
    <w:p>
      <w:r>
        <w:rPr>
          <w:b/>
        </w:rPr>
        <w:t xml:space="preserve">Quelle: </w:t>
      </w:r>
      <w:r>
        <w:t>https://mcp.opencaselaw.ch/entscheid/bstger_BB.2007.69</w:t>
      </w:r>
    </w:p>
    <w:p>
      <w:r>
        <w:t>FR: TPF BB.2007.69 du 28 janvier 2008</w:t>
      </w:r>
    </w:p>
    <w:p>
      <w:r>
        <w:t>IT: TPF BB.2007.69 del 28 gennaio 2008</w:t>
      </w:r>
    </w:p>
    <w:p>
      <w:pPr>
        <w:pStyle w:val="Heading2"/>
      </w:pPr>
      <w:r>
        <w:t>Regeste</w:t>
      </w:r>
    </w:p>
    <w:p>
      <w:r>
        <w:t>Sequestro (art. 65 PP)</w:t>
      </w:r>
    </w:p>
    <w:p>
      <w:pPr>
        <w:pStyle w:val="Heading2"/>
      </w:pPr>
      <w:r>
        <w:t>Erwägungen</w:t>
      </w:r>
    </w:p>
    <w:p>
      <w:r>
        <w:rPr>
          <w:b/>
        </w:rPr>
        <w:t>E. 1.1</w:t>
      </w:r>
    </w:p>
    <w:p>
      <w:r>
        <w:t>Giusta l’art. 105bis cpv. 2 PP, gli atti e le omissioni del procuratore generale della Confederazione possono essere impugnati con reclamo dinanzi alla I Corte dei reclami penali del Tribunale penale federale in applicazione delle prescrizioni procedurali di cui agli art. 214-219 PP.</w:t>
      </w:r>
    </w:p>
    <w:p>
      <w:r>
        <w:rPr>
          <w:b/>
        </w:rPr>
        <w:t>E. 1.2</w:t>
      </w:r>
    </w:p>
    <w:p>
      <w:r>
        <w:t>La I Corte dei reclami penali esamina d’ufficio e con pieno potere cognitivo la ricevibilità dei reclami che le sono sottoposti (DTF 132 I 140, 142 consid. 1.1; 131 I 153, 156 consid. 1; 131 II 571, 573 consid. 1).</w:t>
      </w:r>
    </w:p>
    <w:p>
      <w:r>
        <w:t>- 3 -</w:t>
      </w:r>
    </w:p>
    <w:p>
      <w:r>
        <w:rPr>
          <w:b/>
        </w:rPr>
        <w:t>E. 2.1</w:t>
      </w:r>
    </w:p>
    <w:p>
      <w:r>
        <w:t>Preliminarmente, giova rilevare che la legge prevede due tipi di perquisizio- ne: quella domiciliare (art. 67 PP), che serve a rintracciare e sequestrare og- getti che possono servire quali elementi di prova o valori che potrebbero es- sere oggetto di confisca, e la perquisizione di carte (art. 69 PP). Se non è possibile fare opposizione nei confronti della prima, per contro il detentore delle carte si può opporre alla seconda. In caso d’opposizione all’acqui- sizione totale o parziale dei documenti requisiti agli atti di procedura, gli stes- si saranno suggellati e posti in luogo sicuro. (TPF 2006 307; PIQUEREZ, Trai- té de procédure pénale suisse, 2° ediz., Ginevra, Zurigo, Basilea 2006, n. 907 e 908).</w:t>
      </w:r>
    </w:p>
    <w:p>
      <w:r>
        <w:rPr>
          <w:b/>
        </w:rPr>
        <w:t>E. 2.2</w:t>
      </w:r>
    </w:p>
    <w:p>
      <w:r>
        <w:t>L’apposizione dei sigilli ed il deposito in luogo sicuro non costituiscono delle misure coercitive suscettibili di reclamo, la perquisizione delle carte potendo intervenire unicamente nel momento in cui è possibile prendere conoscenza delle carte, ossia dopo la levata dei sigilli (TPF 2006 307 consid. 1.2; DTF 119 IV 326 consid. 7b; 109 IV 153 consid. 1). Prima di tale operazione i do- cumenti in questione non risultano individualizzati e non possono, pertanto, essere oggetto di alcun ordine di sequestro (TPF BB.2007.48 del 30 luglio 2007). Peraltro, il sequestro diventa effettivo solo quando l’autorità inquiren- te, una volta levati i sigilli, ha proceduto alla cernita dei documenti ed ha de- ciso quali conservare in quanto pertinenti per l’inchiesta. Unicamente allora il proprietario delle carte sequestrate o il terzo sequestratario disporranno della facoltà di interporre reclamo contro tale misura (TPF 2006 307 consid. 2.1).</w:t>
      </w:r>
    </w:p>
    <w:p>
      <w:r>
        <w:rPr>
          <w:b/>
        </w:rPr>
        <w:t>E. 3.1</w:t>
      </w:r>
    </w:p>
    <w:p>
      <w:r>
        <w:t>In casu, la reclamante si è opposta, invocando il rispetto del segreto profes- sionale, all’esame delle carte requisite presso il suo domicilio notarile. Di conseguenza, gli 8 volumi di rubriche dei brevetti sono stati posti sotto sigillo ed in luogo sicuro (v. act. 1.1 pag. 2 e l’inventario del 28 novembre 2007 al- legato a quest’ultimo).</w:t>
      </w:r>
    </w:p>
    <w:p>
      <w:r>
        <w:rPr>
          <w:b/>
        </w:rPr>
        <w:t>E. 3.2</w:t>
      </w:r>
    </w:p>
    <w:p>
      <w:r>
        <w:t>Premesso quanto sopra, al momento dell’inoltro del presente reclamo non era ancora stata chiesta la levata dei sigilli e, pertanto, le carte requisite non potevano essere né consultate né cernite. Come precedentemente esposto (v. consid. 2 supra), la messa sotto sigillo ed il deposito in luogo sicuro a se- guito dell’opposizione, da parte del detentore delle carte, non costituiscono misure coercitive suscettibili di reclamo. Trattandosi di documenti, si può in effetti parlare di perquisizione unicamente allorquando si può prendere co- noscenza delle carte tramite la loro lettura. La levata dei sigilli non essendo ancora intervenuta a quel momento della procedura, le carte in questione non potevano essere oggetto di un ordine di sequestro.</w:t>
      </w:r>
    </w:p>
    <w:p>
      <w:r>
        <w:t>- 4 -</w:t>
      </w:r>
    </w:p>
    <w:p>
      <w:r>
        <w:rPr>
          <w:b/>
        </w:rPr>
        <w:t>E. 3.3</w:t>
      </w:r>
    </w:p>
    <w:p>
      <w:r>
        <w:t>Ne discende, che l’ordine di sequestro del 29 novembre 2007 qui impugnato va annullato. In effetti, nonostante la pronuncia di un tale ordine appaia sen- sata e necessaria nell’ambito di una procedura di levata dei sigilli, la stessa risulta prematura all’attuale stadio della procedura.</w:t>
      </w:r>
    </w:p>
    <w:p>
      <w:r>
        <w:rPr>
          <w:b/>
        </w:rPr>
        <w:t>E. 4</w:t>
      </w:r>
    </w:p>
    <w:p>
      <w:r>
        <w:t>Giova comunque rilevare, che l’annullamento del qui impugnato ordine di sequestro non pregiudica in alcun modo lo statuto giuridico dei documenti requisiti e posti sotto sigillo. Gli stessi restano, infatti, suggellati in attesa dell’evasione, nell’ambito di una procedura separata, della richiesta di levata dei sigilli formulata dal MPC.</w:t>
      </w:r>
    </w:p>
    <w:p>
      <w:r>
        <w:rPr>
          <w:b/>
        </w:rPr>
        <w:t>E. 5</w:t>
      </w:r>
    </w:p>
    <w:p>
      <w:r>
        <w:t>Conformemente all’art. 66 cpv. 1 LTF, applicabile in virtù dell’art. 245 PP, le spese giudiziarie sono, di regola, addossate alla parte soccombente. Se le circostanze lo giustificano, il tribunale può ripartire in modo diverso o rinun- ciare ad addossarle alle parti. Visto l’esito della procedura, si rinuncia a ri- scuotere la tassa di giustizia (art. 66 cpv. 4 LTF). Quale parte soccombente, il MPC è tenuto a risarcire alla reclamante le spese necessarie causate dalla controversia (art. 68 cpv. 2 LTF). In concreto, tenuto conto del presumibile e necessario dispendio causato dalla presente procedura, viene assegnata al- la reclamante un’indennità forfetaria (IVA inclusa) di fr. 1'000.-- a titolo di spese ripetibili, da porre a carico del MPC.</w:t>
      </w:r>
    </w:p>
    <w:p>
      <w:r>
        <w:t>- 5 -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