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BB.2007.60 vom 13. November 2007</w:t>
      </w:r>
    </w:p>
    <w:p>
      <w:r>
        <w:t>Bundesstrafgericht, 2007-11-13, IT</w:t>
      </w:r>
    </w:p>
    <w:p>
      <w:r>
        <w:rPr>
          <w:b/>
        </w:rPr>
        <w:t xml:space="preserve">Quelle: </w:t>
      </w:r>
      <w:r>
        <w:t>https://mcp.opencaselaw.ch/entscheid/bstger_BB.2007.60</w:t>
      </w:r>
    </w:p>
    <w:p>
      <w:r>
        <w:t>FR: TPF BB.2007.60 du 13 novembre 2007</w:t>
      </w:r>
    </w:p>
    <w:p>
      <w:r>
        <w:t>IT: TPF BB.2007.60 del 13 novembre 2007</w:t>
      </w:r>
    </w:p>
    <w:p>
      <w:pPr>
        <w:pStyle w:val="Heading2"/>
      </w:pPr>
      <w:r>
        <w:t>Regeste</w:t>
      </w:r>
    </w:p>
    <w:p>
      <w:r>
        <w:t>Sequestro (art. 65 PP)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procedura penale federale non prevede una normativa specifica in mate- ria di ritiro di un reclamo. Quanto alla legge federale sul Tribunale federale (LTF; RS 173.110), applicabile in virtù del rinvio esplicito dell’art. 245 PP, essa non regolamenta direttamente la questione: l’art. 66 cpv. 2 LTF (che ha sostanzialmente il medesimo tenore dell’abrogato art. 153 cpv. 2 OG) preve- de unicamente che le spese giudiziarie possono essere ridotte in caso di de- sistenza, alla quale il ritiro può essere assimilato (DTF 111 V 156 consid. 3a; 107 V 246 consid. 1a). L’art. 73 PC, applicabile in virtù dell’art. 71 LTF, pre- cisa che la desistenza di una parte pone fine al processo (cpv. 1) e che essa è esecutiva come la sentenza (cpv. 4). Nella prassi, il ritiro di un ricorso vie- ne esplicitato mediante una dichiarazione del ricorrente, la quale, oltre a non poter essere accompagnata da condizioni, è irrevocabile, fatto salvo un vizio</w:t>
      </w:r>
    </w:p>
    <w:p>
      <w:r>
        <w:t>- 3 -</w:t>
      </w:r>
    </w:p>
    <w:p>
      <w:r>
        <w:t>della volontà (DTF 111 V 156 consid. 3a, 58 consid. 1; 109 V 234 consid. 3; 105 Ia 115). Sovente una tale dichiarazione è contenuta in una lettera che il ricorrente invia spontaneamente all’autorità di ricorso (DTF 111 V 156 con- sid. 3a).</w:t>
      </w:r>
    </w:p>
    <w:p>
      <w:r>
        <w:rPr>
          <w:b/>
        </w:rPr>
        <w:t>E. 1.2</w:t>
      </w:r>
    </w:p>
    <w:p>
      <w:r>
        <w:t>Nella fattispecie, il reclamante ha ritirato il proprio gravame mediante scritto del 31 ottobre 2007 adducendo di non voler, a questo stadio della procedura, provvedere al versamento dell’anticipo spese richiesto. La I Corte dei reclami penali prende atto di quanto precede e stralcia dunque la presente causa dai ruoli.</w:t>
      </w:r>
    </w:p>
    <w:p>
      <w:r>
        <w:rPr>
          <w:b/>
        </w:rPr>
        <w:t>E. 2</w:t>
      </w:r>
    </w:p>
    <w:p>
      <w:r>
        <w:t>Conformemente all’art. 66 cpv. 1 LTF, le spese processuali sono poste, di regola, a carico della parte soccombente. In caso di ritiro di un ricorso, le spese legate al gravame sono poste a carico del ricorrente, parte considera- ta soccombente (DTF 91 II 146 consid. 2; POUDRET, Commentaire de la loi fédérale d’organisation judiciaire, vol. V, Berna 1992, n. 2 ad art. 153 OG e n. 6 ad art. 156 OG, le cui considerazioni possono essere riprese per l’applicazione dell’art. 66 LTF). L’autorità giudicante può rinunciare, in tutto o in parte, alla riscossione delle spese processuali (art. 66 cpv. 2 LTF). In con- creto, tenuto conto dello stadio della procedura, il prelevamento di una tassa di giustizia di Fr. 500.--, calcolata giusta l'art. 3 del Regolamento dell’11 feb- braio 2004 sulle tasse di giustizia del Tribunale penale federale (RS 173.711.32), appare appropriata.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