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BB.2007.58 vom 23. November 2007</w:t>
      </w:r>
    </w:p>
    <w:p>
      <w:r>
        <w:t>Bundesstrafgericht, 2007-11-23, DE</w:t>
      </w:r>
    </w:p>
    <w:p>
      <w:r>
        <w:rPr>
          <w:b/>
        </w:rPr>
        <w:t xml:space="preserve">Quelle: </w:t>
      </w:r>
      <w:r>
        <w:t>https://mcp.opencaselaw.ch/entscheid/bstger_BB.2007.58</w:t>
      </w:r>
    </w:p>
    <w:p>
      <w:r>
        <w:t>FR: TPF BB.2007.58 du 23 novembre 2007</w:t>
      </w:r>
    </w:p>
    <w:p>
      <w:r>
        <w:t>IT: TPF BB.2007.58 del 23 novembre 2007</w:t>
      </w:r>
    </w:p>
    <w:p>
      <w:pPr>
        <w:pStyle w:val="Heading2"/>
      </w:pPr>
      <w:r>
        <w:t>Regeste</w:t>
      </w:r>
    </w:p>
    <w:p>
      <w:r>
        <w:t>Ergänzung der Akten (Art. 119 Abs. 1 BStP)</w:t>
      </w:r>
    </w:p>
    <w:p>
      <w:pPr>
        <w:pStyle w:val="Heading2"/>
      </w:pPr>
      <w:r>
        <w:t>Erwägungen</w:t>
      </w:r>
    </w:p>
    <w:p>
      <w:r>
        <w:rPr>
          <w:b/>
        </w:rPr>
        <w:t>E. 19</w:t>
      </w:r>
    </w:p>
    <w:p>
      <w:r>
        <w:t>April 2007 übermittelte die Vorinstanz den Fragenkatalog an die zu- ständigen Behörden der USA mit dem Hinweis, dass beide Verteidiger an ihrem Teilnahme- und Ergänzungsfragerecht festhielten und teilte Daten mit, an denen den Beschwerdegegnern die Teilnahme möglich sei (act. 1.16). Am 23. April 2007 teilte der Beschwerdegegner 1 aufgrund des übermittelten Fragenkatalogs mit, dass er erstaunt sei, dass nur ein Teil der für ihn möglichen Termine mitgeteilt worden sei (act. 1.17). In der Folge korrespondierten die Vorinstanz und die US-Staatsanwältin per E-Mail über die Durchführung der Einvernahmen und die Termine (act. 1.18). Am</w:t>
      </w:r>
    </w:p>
    <w:p>
      <w:r>
        <w:rPr>
          <w:b/>
        </w:rPr>
        <w:t>E. 22</w:t>
      </w:r>
    </w:p>
    <w:p>
      <w:r>
        <w:t>Juni 2007 teilte die US-Staatsanwältin der Vorinstanz mit, dass die Be- fragungen abgeschlossen seien (act. 1.19).</w:t>
      </w:r>
    </w:p>
    <w:p>
      <w:r>
        <w:t>5.3 Art. 6 Ziff. 3 lit. d EMRK räumt dem Angeschuldigten das Recht ein, Fragen an die Belastungszeugen zu stellen und die Ladung und Vernehmung von Belastungszeugen zu erwirken (BGE 118 IA 462, 469 E. 5a). Derselbe An- spruch ergibt sich aus dem in Art. 4 BV (neu: Art. 29 Abs. 2 BV) veranker- ten Anspruch auf rechtliches Gehör (BGE 118 IA 462, 469 E. 5a; BGE 116 Ia 289, 291, E. 3a; TPF BB.2006.126 vom 22. Februar 2007 E. 2.1). Der Grundsatz des rechtlichen Gehörs als persönlichkeitsbezogenes Mitwir- kungsrecht verlangt, dass die Behörde die Vorbringen des vom Entscheid in seiner Rechtsstellung Betroffenen auch tatsächlich hört, sorgfältig und ernsthaft prüft und in der Entscheidfindung berücksichtigt (TPF BB.2007.40 vom 12. November 2007 E. 3.2; TPF BB.2006.126 vom 22. Februar 2007 E. 2.1). Gemäss der bundesgerichtlichen und von der Beschwerdeführerin zitierten Rechtsprechung (siehe zum Ganzen act. 1) genügt es grundsätz- lich, wenn der Angeschuldigte mindestens einmal Gelegenheit erhält, den ihn belastenden Personen Ergänzungsfragen zu stellen (BGE 118 IA 462, 469 E. 5aa; BGE 116 Ia 289, 291 E. 3a). Falls der Angeschuldigte der Ver- nehmung des Belastungszeugen nicht persönlich beiwohnen konnte, ist ihm wenigstens Gelegenheit zu geben, nach Einsicht in die Aussagen schriftlich ergänzende Fragen anzubringen. Sachliche Gründe, welche eine persönliche Konfrontation mit dem Belastungszeugen zumindest erschwe- ren können, liegen dann vor, wenn sich der Belastungszeuge im Ausland</w:t>
      </w:r>
    </w:p>
    <w:p>
      <w:r>
        <w:t>- 7 -</w:t>
      </w:r>
    </w:p>
    <w:p>
      <w:r>
        <w:t>im Strafvollzug befindet und auf dem Rechtshilfeweg einvernommen wer- den muss. Im Falle von so genannten „kommissarischen Einvernahmen“ von Zeugen im Ausland muss daher dem Angeschuldigten grundsätzlich das Einvernahmeprotokoll vorgelegt werden, und es ist ihm auf entspre- chenden Antrag hin Gelegenheit zu geben, nachträglich schriftliche Ergän- zungsfragen an den Belastungszeugen zu stellen (BGE 118 IA 462, 470 E. 5aa). BGE 118 IA 462, 471 E. b ist weiter zu entnehmen, dass es grund- sätzlich nicht genügt, von den Beschuldigten vor der rechtshilfeweisen Ein- vernahme einen schriftlichen Fragenkatalog für die Zeugenbefragung zu- sammenstellen zu lassen. Vielmehr sind schriftliche Ergänzungsfragen des Angeschuldigten an den Belastungszeugen nach dessen Befragung zuzu- lassen, da sich Aussagewidersprüche naturgemäss erst dann ergeben (act. 1).</w:t>
      </w:r>
    </w:p>
    <w:p>
      <w:r>
        <w:t>5.4 Nachfolgend ist zu prüfen, ob das Zustandekommen der rechtshilfeweise erstellten Einvernahmeprotokolle (E. 5.2) im Einklang mit der erwähnten Rechtsprechung (E. 5.3) steht. Vorliegend hatten die Beteiligten die Mög- lichkeit (act. 1.7 und act. 1.8), ihre Fragen in den Fragenkatalog der Vorin- stanz einfliessen zu lassen (act. 1). Die Beschwerdegegner bestanden auf ihren Teilnahmerechten bei den Einvernahmen in den USA (act. 1.9 und act. 1.10). Trotz dieser Anträge fanden die Einvernahmen ohne die Be- schwerdegegner statt. Den eingereichten Akten ist nicht zu entnehmen, ob die Vorinstanz den Beschwerdegegnern die Einvernahmetermine mitgeteilt und ihre Anträge auf Teilnahme überhaupt behandelt hat (act. 1). Des Wei- tern gibt es keine Hinweise, ob die Vorinstanz die Beschwerdegegner und die Beschwerdeführerin je aufgefordert hätte, zu den rechtshilfeweise er- stellten Einvernahmeprotokollen Ergänzungsfragen zu stellen. Dies wäre angesichts der belastenden Aussagen (E. 4) und der schriftlichen Anträge (act. 1; act. 1.9, act. 1.10, act. 1.13 und act. 1.15) aber notwendig gewesen. Soweit die Vorinstanz vorbringt, es genüge, wenn die Beschuldigten im Verlaufe des Strafverfahrens wenigstens einmal Gelegenheit erhalten, den sie belastenden Personen Ergänzungsfragen zu stellen (act. 7), so ist fest- zustellen, dass dieses Erfordernis für die Verwertbarkeit von Aussagen mit der Einräumung der Möglichkeit, vor der Einvernahme Ergänzungsfragen in den Fragenkatalog einfliessen zu lassen, nicht erfüllt ist. Entgegen der Meinung der Vorinstanz reicht es zudem zur Wahrung des rechtlichen Ge- hörs bzw. der Verteidigungsrechte nicht aus, dass dem Beschwerdefüh- rer 1 die Aussagen anlässlich der Einvernahmen vom 6. Juli 2007 und 31. August 2007 vorgehalten wurden oder die Beteiligten mit Verfügung der Vorinstanz vom 31. August 2007 die Möglichkeit erhielten, die Akten im Rahmen von Art. 119 Abs. 1 BStP ergänzen zu lassen (act. 7). Das Ergän- zungsfragerecht ist erst dann gewahrt, wenn die Beteiligten nach Vorlage</w:t>
      </w:r>
    </w:p>
    <w:p>
      <w:r>
        <w:t>- 8 -</w:t>
      </w:r>
    </w:p>
    <w:p>
      <w:r>
        <w:t>der belastenden Aussagen die Möglichkeit erhalten (vgl. BGE 116 IA 289, 291 E. 3 „Gelegenheit gegeben“), Ergänzungsfragen zu stellen. Das Argu- ment der Vorinstanz, die Beteiligten hätten genügend Gelegenheit gehabt, Ergänzungsfragen zu beantragen, ist angesichts der gestellten Anträge (act. 1.9, act. 1.10, act. 1.13; act. 1.15 und act. 7), nicht stichhaltig, bezieht sich die Vorinstanz damit doch auf hier nicht relevante „Ergänzungs-“ fra- gen vor der Befragung. Mit der Abweisung des Beweisantrages hat die Vor- instanz damit den Gehörsanspruch der Beschuldigten verletzt.</w:t>
      </w:r>
    </w:p>
    <w:p>
      <w:r>
        <w:t>Angesichts des Umstandes, dass eine allfällige Beantwortung von Ergän- zungsfragen im Rahmen der Hauptverhandlung unverhältnismässig auf- wendig (Rechtshilfegesuch etc.) wäre und es unklar ist, wie lange die zu befragenden Personen durch die Behörden der USA noch erreichbar sind, rechtfertigt es sich, dass die Vorinstanz die bestehenden prozessualen Hindernisse im Rahmen der Voruntersuchung so rasch als möglich behebt (act. 1). Die Vorinstanz wird deshalb angewiesen, die rechtshilfeweise in den USA durchgeführten Einvernahmen mit C., D., E. und F. ergänzen zu lassen, d.h. mittels Rechtshilfeersuchen an die USA die Beantwortung der allfälligen Ergänzungsfragen der Beschuldigten zu veranlassen.</w:t>
      </w:r>
    </w:p>
    <w:p>
      <w:r>
        <w:t>Die Beschwerde ist daher gutzuheissen und Ziffer 1 der Verfügung der Vor- instanz vom 26. September 2007 (VU.2006.32) in Verbindung mit Ziffer 4 der Beweisanträge der Beschwerdeführerin vom 24. September 2007 ist aufzuheben.</w:t>
      </w:r>
    </w:p>
    <w:p>
      <w:r>
        <w:t>6. 6.1 Grundsätzlich wird die unterliegende Partei gegenüber der obsiegenden Partei entschädigungspflichtig (Art. 245 Abs. 1 BStP i.V.m. Art. 68 Abs. 2 BGG). Die Beschwerdeführerin ist mit ihren Anträgen durchgedrungen. Ihr wird aber trotz ihres Obsiegens keine Entschädigung zugesprochen (Art. 245 Abs. 1 BStP i.V.m. Art. 68 Abs. 3 BGG).</w:t>
      </w:r>
    </w:p>
    <w:p>
      <w:r>
        <w:t>Den amtlichen Verteidigern der Beschwerdegegner ist für das vorliegende Verfahren aus der Gerichtskasse eine Entschädigung von je Fr. 250.-- (inkl. Auslagen und MWST) zu bezahlen.</w:t>
      </w:r>
    </w:p>
    <w:p>
      <w:r>
        <w:t>6.2 Bei diesem Ausgang des Verfahrens werden keine Gerichtskosten erhoben (Art. 66 Abs. 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