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BB.2007.4 vom 13. April 2007</w:t>
      </w:r>
    </w:p>
    <w:p>
      <w:r>
        <w:t>Bundesstrafgericht, 2007-04-13, DE</w:t>
      </w:r>
    </w:p>
    <w:p>
      <w:r>
        <w:rPr>
          <w:b/>
        </w:rPr>
        <w:t xml:space="preserve">Quelle: </w:t>
      </w:r>
      <w:r>
        <w:t>https://mcp.opencaselaw.ch/entscheid/bstger_BB.2007.4</w:t>
      </w:r>
    </w:p>
    <w:p>
      <w:r>
        <w:t>FR: TPF BB.2007.4 du 13 avril 2007</w:t>
      </w:r>
    </w:p>
    <w:p>
      <w:r>
        <w:t>IT: TPF BB.2007.4 del 13 aprile 2007</w:t>
      </w:r>
    </w:p>
    <w:p>
      <w:pPr>
        <w:pStyle w:val="Heading2"/>
      </w:pPr>
      <w:r>
        <w:t>Regeste</w:t>
      </w:r>
    </w:p>
    <w:p>
      <w:r>
        <w:t>Beschwerde gegen Vermögensbeschlagnahme (Art. 65 BStP)</w:t>
      </w:r>
    </w:p>
    <w:p>
      <w:pPr>
        <w:pStyle w:val="Heading2"/>
      </w:pPr>
      <w:r>
        <w:t>Erwägungen</w:t>
      </w:r>
    </w:p>
    <w:p>
      <w:r>
        <w:rPr>
          <w:b/>
        </w:rPr>
        <w:t>E. 1.1</w:t>
      </w:r>
    </w:p>
    <w:p>
      <w:r>
        <w:t>Gegen Amtshandlungen und wegen Säumnis des Bundesanwalts ist die Beschwerde an die Beschwerdekammer des Bundesstrafgerichts nach den Verfahrensvorschriften der Artikel 214-219 BStP zulässig (Art. 105bis Abs. 2 BStP). Ist die Beschwerde gegen eine Amtshandlung des Bundesanwalts gerichtet, so ist sie innert fünf Tagen, nachdem der Beschwerdeführer von der Amtshandlung Kenntnis erhalten hat, einzureichen (Art. 217 BStP). Die Beschwerde steht den Parteien und einem jeden zu, der durch eine Verfü- gung oder durch die Säumnis des Bundesanwalts einen ungerechtfertigten Nachteil erleidet (Art. 214 Abs. 2 BStP).</w:t>
      </w:r>
    </w:p>
    <w:p>
      <w:r>
        <w:rPr>
          <w:b/>
        </w:rPr>
        <w:t>E. 1.2</w:t>
      </w:r>
    </w:p>
    <w:p>
      <w:r>
        <w:t>Gemäss den Ausführungen des Vertreters des Beschwerdeführers ist die angefochtene Verfügung am 4. Januar 2007 bei diesem eingegangen und die Beschwerde vom 9. Januar 2007 (Postaufgabe) damit innert Frist ein- gereicht worden. Die Beschwerdegegnerin unterlässt jegliche Ausführun- gen zur Frage der Fristwahrung, womit davon auszugehen ist, dass die Be- schwerde fristgemäss erfolgte.</w:t>
      </w:r>
    </w:p>
    <w:p>
      <w:r>
        <w:rPr>
          <w:b/>
        </w:rPr>
        <w:t>E. 1.3</w:t>
      </w:r>
    </w:p>
    <w:p>
      <w:r>
        <w:t>Wie der Darstellung im Sachverhalt zu entnehmen ist, ergeben sich weder aus den Ausführungen der Parteien noch aus den eingereichten Akten An- haltspunkte dafür, dass mit der angefochtenen Verfügung in ein Eigentums- oder sonstiges Vermögensrecht des Beschwerdeführers eingegriffen wur- de. Auch die übrigen vom Vertreter des Beschwerdeführers offerierten Be- weismittel lassen solche Anhaltspunkte nicht erwarten. Vielmehr zeigt der Sachverhalt auf, dass bis zum Erlass der angefochtenen Verfügung eine aus der Lebensversicherung resultierende Begünstigung des Vaters des Beschwerdeführers vorlag, und dass mit der angefochtenen Verfügung der Auszahlungsanspruch des Vaters des Beschwerdeführers gegen die Versi- cherungsgesellschaft blockiert bzw. beschlagnahmt wurde. Die Ausführun- gen des Beschwerdeführers, wonach sein Vater eine „Ausbildungspolice“ für den Beschwerdeführer abgeschlossen habe und die Versicherungsleis- tungen für den Sohn bestimmt gewesen seien (act. 1 S. 3), ändern an die- ser Situation nichts, und man fragt sich, wie der Vertreter des Beschwerde- führers zur Behauptung kommt, die von der C. zu leistende Versicherungs- summe stelle Kindsvermögen dar (act. 1 S. 4). Unverständlich ist auch die Behauptung, die „Erklärung zur Identifizierung des wirtschaftlich Berechtig- ten“ (act. 8.5) bilde den Beweis für die Beschwerdelegitimation des Be- schwerdeführers (act. 11 S. 1 f.). Die widersprüchliche Art, wie der Vater des Beschwerdeführers das Antragsformular (act. 8.5) ausfüllte, beweist</w:t>
      </w:r>
    </w:p>
    <w:p>
      <w:r>
        <w:t>- 4 -</w:t>
      </w:r>
    </w:p>
    <w:p>
      <w:r>
        <w:t>bezüglich der Berechtigung des Beschwerdeführers überhaupt nichts, son- dern wirft vor allem ein zwiespältiges Licht auf dessen Vater.</w:t>
      </w:r>
    </w:p>
    <w:p>
      <w:r>
        <w:t>Von der Beschlagnahmeverfügung wurden damit keine Rechte des Be- schwerdeführers betroffen, weshalb dieser nicht im rechtlichen Sinne be- schwert ist. Auf die Beschwerde ist deshalb mangels Legitimation nicht ein- zutreten.</w:t>
      </w:r>
    </w:p>
    <w:p>
      <w:r>
        <w:rPr>
          <w:b/>
        </w:rPr>
        <w:t>E. 2</w:t>
      </w:r>
    </w:p>
    <w:p>
      <w:r>
        <w:t>Bei diesem Ausgang des Verfahrens hat der Beschwerdeführer die Ge- richtskosten zu tragen (Art. 245 Abs. 1 BStP i.V. mit Art. 66 Abs. 1 BGG). Die Gerichtsgebühr wird auf Fr. 1'000.-- festgesetzt (Art. 245 Abs. 2 BStP und Art. 3 des Reglements über die Gerichtsgebühren vor dem Bundes- strafgericht vom 11. Februar 2004, SR 173.711.32), unter Anrechnung des für dieses Verfahren geleisteten Kostenvorschusses von Fr. 1'000.-- (act. 2 und 3).</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