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BB.2007.39 vom 12. Juni 2007</w:t>
      </w:r>
    </w:p>
    <w:p>
      <w:r>
        <w:t>Bundesstrafgericht, 2007-06-12, DE</w:t>
      </w:r>
    </w:p>
    <w:p>
      <w:r>
        <w:rPr>
          <w:b/>
        </w:rPr>
        <w:t xml:space="preserve">Quelle: </w:t>
      </w:r>
      <w:r>
        <w:t>https://mcp.opencaselaw.ch/entscheid/bstger_BB.2007.39</w:t>
      </w:r>
    </w:p>
    <w:p>
      <w:r>
        <w:t>FR: TPF BB.2007.39 du 12 juin 2007</w:t>
      </w:r>
    </w:p>
    <w:p>
      <w:r>
        <w:t>IT: TPF BB.2007.39 del 12 giugno 2007</w:t>
      </w:r>
    </w:p>
    <w:p>
      <w:pPr>
        <w:pStyle w:val="Heading2"/>
      </w:pPr>
      <w:r>
        <w:t>Regeste</w:t>
      </w:r>
    </w:p>
    <w:p>
      <w:r>
        <w:t>Fristerstreckung (Art. 214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Ist die Be- schwerde gegen eine Amtshandlung des Untersuchungsrichters gerichtet, so ist sie innert fünf Tagen, nachdem der Beschwerdeführer von der Amts- handlung Kenntnis erhalten hat, einzureichen (Art. 217 BStP). Die Be- schwerde steht den Parteien und einem jeden zu, der durch eine Verfü- gung oder durch die Säumnis des Untersuchungsrichters einen ungerecht- fertigten Nachteil erleidet (Art. 214 Abs. 2 BStP).</w:t>
      </w:r>
    </w:p>
    <w:p>
      <w:r>
        <w:rPr>
          <w:b/>
        </w:rPr>
        <w:t>E. 1.2</w:t>
      </w:r>
    </w:p>
    <w:p>
      <w:r>
        <w:t>Der Beschwerdeführer ist durch die Verweigerung der Fristerstreckung be- schwert und somit zur Beschwerde legitimiert. Die Beschwerde wurde frist- gerecht eingereicht. Auf die Beschwerde ist somit einzutreten.</w:t>
      </w:r>
    </w:p>
    <w:p>
      <w:r>
        <w:rPr>
          <w:b/>
        </w:rPr>
        <w:t>E. 2.1</w:t>
      </w:r>
    </w:p>
    <w:p>
      <w:r>
        <w:t>Der Beschwerdeführer macht im Wesentlichen geltend, dass ihm die mit Verfügung der Vorinstanz vom 10. Mai 2007 angesetzte Frist bis am 14. Juni 2007 nicht ausreiche, um die Akten vollständig einzusehen und Anträge zu stellen. Der DVD des Untersuchungsrichteramtes könnten ca. 20'000 Seiten entnommen werden. Er verlange deshalb eine Fristerstre- ckung um 4 Monate ab Zustellung eines Entwurfs des Schlussberichtes, mindestens bis Ende September 2007.</w:t>
      </w:r>
    </w:p>
    <w:p>
      <w:r>
        <w:rPr>
          <w:b/>
        </w:rPr>
        <w:t>E. 2.2</w:t>
      </w:r>
    </w:p>
    <w:p>
      <w:r>
        <w:t>Gemäss Art. 119 Abs. 1 BStP setzt der Untersuchungsrichter den Parteien vor Schluss der Voruntersuchung eine Frist zur Ergänzung der Akten. Die Parteien sollen damit eine weitere Gelegenheit erhalten, die Akten zu er- gänzen. Der Beschwerdeführer verlangt eine Fristerstreckung ohne geltend zu machen, inwiefern er die Akten ergänzen möchte. Sein Antrag erweist sich daher als nicht substantiiert. Aufgrund der Begründung des Beschwer- deführers ist davon auszugehen, dass er die Fristerstreckung benötigt, um die Akten zu lesen. Die Frist im Rahmen von Art. 119 Abs. 1 BStP dient aber nicht dazu, sich in umfangreiche Akten einzulesen. Entsprechend den Ausführungen der Vorinstanz in der Verfügung vom 25. Mai 2007 steht fest,</w:t>
      </w:r>
    </w:p>
    <w:p>
      <w:r>
        <w:t>- 4 -</w:t>
      </w:r>
    </w:p>
    <w:p>
      <w:r>
        <w:t>dass der Beschwerdeführer seit Ende August 2006 praktisch uneinge- schränkte Akteneinsicht hat (act. 1.1). Seit spätestens Mitte Mai 2007 hat er aufgrund der abgegebenen DVD vollständige Akteneinsicht (act. 1.1). Der Beschwerdeführer ist seit dem 31. Mai 2006 durch Fürsprecher Franz Müller vertreten (act. 1.2) und hatte somit genügend Zeit, die Akten einzu- sehen. Des Weitern ist zu berücksichtigen, dass der grösste Teil der Akten gar nicht den Beschwerdeführer sondern die anderen Beschuldigten be- trifft. Es ist somit nicht notwendig, dass er sämtliche Akten liest. Vielmehr genügt eine genaue Durchsicht der Akten, um deren Vollständigkeit zu be- urteilen und eventuelle Ergänzungsanträge zu stellen. Eine solche Durch- sicht ist angesichts der geschilderten Umstände bis zum 14. Juni 2007 oh- ne weiteres möglich.</w:t>
      </w:r>
    </w:p>
    <w:p>
      <w:r>
        <w:rPr>
          <w:b/>
        </w:rPr>
        <w:t>E. 2.3</w:t>
      </w:r>
    </w:p>
    <w:p>
      <w:r>
        <w:t>Aufgrund der Aktenlage sind die Voraussetzungen für eine Fristerstreckung nicht gegeben. Sollten jedoch innerhalb der dem Beschwerdeführer bis zum 14. Juni 2007 noch zur Verfügung stehenden Frist im Rahmen der un- ter Punkt 2.2 erwähnten Aktendurchsicht gewichtige Gründe für eine Frist- erstreckung aufgetaucht sein, so besteht diese Möglichkeit im angemesse- nen Rahmen. Eine allfällige Fristerstreckung wird jedoch höchstens im Be- reich eines Monats liegen und kann keinesfalls bis mindestens Ende Sep- tember 2007 oder 4 Monate ab Zustellung eines Entwurfs des Schlussbe- richtes dauern (vgl. dazu TPF BB.2007.36 vom 1. Juni 2007 E. 2.5).</w:t>
      </w:r>
    </w:p>
    <w:p>
      <w:r>
        <w:rPr>
          <w:b/>
        </w:rPr>
        <w:t>E. 2.4</w:t>
      </w:r>
    </w:p>
    <w:p>
      <w:r>
        <w:t>Soweit der Beschwerdeführer im Rahmen von Art. 119 Abs. 1 BStP einen Entwurf des Schlussberichtes beantragt, ist gestützt auf Art. 119 Abs. 3 BStP zu berücksichtigen, dass der Untersuchungsrichter erst sämtliche An- träge erledigt, die Voruntersuchung schliesst und alsdann dem Bundesan- walt den Schlussbericht zustellt. Die Parteien erhalten somit den Schluss- bericht erst nach Schluss der Voruntersuchung. Der Beschwerdeführer hat deshalb während der hängigen Voruntersuchung keinen Anspruch auf Ein- sicht in den Entwurf des Schlussberichtes.</w:t>
      </w:r>
    </w:p>
    <w:p>
      <w:r>
        <w:rPr>
          <w:b/>
        </w:rPr>
        <w:t>E. 2.5</w:t>
      </w:r>
    </w:p>
    <w:p>
      <w:r>
        <w:t>Der Vollständigkeit halber sei erwähnt, dass der Beschwerdeführer auch nach Abschluss der Voruntersuchung Akteneinsichtsgesuche stellen kann. Im Falle einer Anklageerhebung sind im Rahmen der Vorbereitung der Hauptverhandlung Beweisanträge noch bis zum Abschluss des Beweisver- fahrens in der Hauptverhandlung möglich. Der Anspruch des Beschwerde- führers auf rechtliches Gehör ist deshalb mit dem Vorgehen der Vorinstanz nicht im Geringsten gefährdet (vgl. dazu TPF BB.2007.36 vom 1. Juni 2007 E. 2.6, TPF BB.2007.17 vom 12. März 2007 E. 1.3 und TPF BB.2006.75 vom 30. Januar 2007 E. 2.3).</w:t>
      </w:r>
    </w:p>
    <w:p>
      <w:r>
        <w:t>- 5 -</w:t>
      </w:r>
    </w:p>
    <w:p>
      <w:r>
        <w:rPr>
          <w:b/>
        </w:rPr>
        <w:t>E. 2.6</w:t>
      </w:r>
    </w:p>
    <w:p>
      <w:r>
        <w:t>Die Beschwerde erweist sich damit sofort als unbegründet im Sinne von Art. 219 Abs. 1 BStP, weshalb von der Einholung einer Stellungnahme der Bundesanwaltschaft und der Vorinstanz abgesehen wird.</w:t>
      </w:r>
    </w:p>
    <w:p>
      <w:r>
        <w:rPr>
          <w:b/>
        </w:rPr>
        <w:t>E. 3</w:t>
      </w:r>
    </w:p>
    <w:p>
      <w:r>
        <w:t>Bei diesem Ausgang des Verfahrens hat der Beschwerdeführer die Kosten zu tragen (Art. 66 Abs. 1 BGG), wobei die Gerichtsgebühr auf Fr. 500.-- festgesetzt wird (Art. 3 des Reglements über die Gerichtsgebühren vor dem Bundesstrafgericht vom 11. Februar 2004; SR 173.711.32).</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