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BB.2007.26_A vom 28. März 2007</w:t>
      </w:r>
    </w:p>
    <w:p>
      <w:r>
        <w:t>Bundesstrafgericht, 2007-03-28, DE</w:t>
      </w:r>
    </w:p>
    <w:p>
      <w:r>
        <w:rPr>
          <w:b/>
        </w:rPr>
        <w:t xml:space="preserve">Quelle: </w:t>
      </w:r>
      <w:r>
        <w:t>https://mcp.opencaselaw.ch/entscheid/bstger_BB.2007.26_A</w:t>
      </w:r>
    </w:p>
    <w:p>
      <w:r>
        <w:t>FR: TPF BB.2007.26_A du 28 mars 2007</w:t>
      </w:r>
    </w:p>
    <w:p>
      <w:r>
        <w:t>IT: TPF BB.2007.26_A del 28 marzo 2007</w:t>
      </w:r>
    </w:p>
    <w:p>
      <w:pPr>
        <w:pStyle w:val="Heading2"/>
      </w:pPr>
      <w:r>
        <w:t>Regeste</w:t>
      </w:r>
    </w:p>
    <w:p>
      <w:r>
        <w:t>Beschwerde gegen Verfügung des Untersuchungsrichters; Gesuch um Erlass einer superprovisorischen Verfügung</w:t>
      </w:r>
    </w:p>
    <w:p>
      <w:pPr>
        <w:pStyle w:val="Heading2"/>
      </w:pPr>
      <w:r>
        <w:t>Erwägungen</w:t>
      </w:r>
    </w:p>
    <w:p>
      <w:r>
        <w:rPr>
          <w:b/>
        </w:rPr>
        <w:t>E. 1</w:t>
      </w:r>
    </w:p>
    <w:p>
      <w:r>
        <w:t>Der vorsorgliche Rechtsschutz im Beschwerdeverfahren ist im Bundesge- setz über die Bundesstrafrechtspflege vom 15. Juni 1934 („BStP“) lediglich in dem Sinne geregelt, als Art. 218 BStP die Möglichkeit der Anordnung der aufschiebenden Wirkung vorsieht, um den Vollzug einer angefochtenen Verfügung zu hemmen. Die Erteilung der aufschiebenden Wirkung hat also den Zweck, den vor der angefochtenen Verfügung bestehenden sachlichen oder rechtlichen Zustand für die Dauer des Beschwerdeverfahrens zu er- halten bzw. zu sichern. In der BStP nicht vorgesehen sind im Beschwerde- verfahren vorsorgliche Massnahmen im Sinne einer Veränderung des vor- bestehenden Zustandes.</w:t>
      </w:r>
    </w:p>
    <w:p>
      <w:r>
        <w:rPr>
          <w:b/>
        </w:rPr>
        <w:t>E. 2</w:t>
      </w:r>
    </w:p>
    <w:p>
      <w:r>
        <w:t>Art. 245 BStP erklärt im Bereiche der Verfahrenskosten die Vorschriften des Bundesgerichtsgesetzes vom 17. Juni 2005 („BGG“) für sinngemäss anwendbar, weshalb sich die Frage rechtfertigt, ob analog dazu eine sinn-</w:t>
      </w:r>
    </w:p>
    <w:p>
      <w:r>
        <w:t>- 3 -</w:t>
      </w:r>
    </w:p>
    <w:p>
      <w:r>
        <w:t>gemässe Anwendung des BGG dort in Frage kommt, wo in der BStP weite- re Bestimmungen über den vorsorglichen Rechtsschutz fehlen. Eine ent- sprechende Regelung ist in Art. 104 BGG enthalten. Gemäss Art. 104 BGG kann demnach im Beschwerdeverfahren von Amtes wegen oder auf Antrag einer Partei eine vorsorgliche Anordnung getroffen werden, um den beste- henden Zustand zu erhalten oder bedrohte Interessen einstweilen sicher- zustellen. Bei den bedrohten Interessen kann es sich nur um verfahrensre- levante Interessen, d. h. solche Interessen handeln, welche für das Straf- verfahren von Bedeutung und deshalb rechtlich schützenswert sind, wie z. B. Anträge auf Beweissicherung etc..</w:t>
      </w:r>
    </w:p>
    <w:p>
      <w:r>
        <w:rPr>
          <w:b/>
        </w:rPr>
        <w:t>E. 3</w:t>
      </w:r>
    </w:p>
    <w:p>
      <w:r>
        <w:t>Der Gesuchsteller führt aus, dass er vom 29. März 2007 bis und mit 9. April 2007 seine kranke Mutter in Spanien besuchen und mit seinen Töchtern Ferien machen möchte, persönlich sehr verständliche und wichtige Anlie- gen, andererseits aber ausschliesslich familiär motiviert und ohne Zusam- menhang mit dem Strafverfahren. Es handelt sich deshalb nicht um schüt- zenswerte Interessen im Sinne von Art. 104 BGG; es kann deshalb offen bleiben, ob Art. 104 BGG überhaupt im vorliegenden Beschwerdeverfahren Anwendung finden kann. Das Gesuch um Erlass einer superprovisorischen Verfügung ist demnach abzuweisen.</w:t>
      </w:r>
    </w:p>
    <w:p>
      <w:r>
        <w:rPr>
          <w:b/>
        </w:rPr>
        <w:t>E. 4</w:t>
      </w:r>
    </w:p>
    <w:p>
      <w:r>
        <w:t>Bei diesem Ausgang des Verfahrens gilt der Gesuchsteller als unterliegen- de Partei. Er hat somit in Anwendung von Art. 66 Abs. 1 BGG die Verfah- renskosten zu tragen. Die Kosten des vorliegenden Entscheids bleiben bei der Hauptsache.</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