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BB.2007.17 vom 12. März 2007</w:t>
      </w:r>
    </w:p>
    <w:p>
      <w:r>
        <w:t>Bundesstrafgericht, 2007-03-12, DE</w:t>
      </w:r>
    </w:p>
    <w:p>
      <w:r>
        <w:rPr>
          <w:b/>
        </w:rPr>
        <w:t xml:space="preserve">Quelle: </w:t>
      </w:r>
      <w:r>
        <w:t>https://mcp.opencaselaw.ch/entscheid/bstger_BB.2007.17</w:t>
      </w:r>
    </w:p>
    <w:p>
      <w:r>
        <w:t>FR: TPF BB.2007.17 du 12 mars 2007</w:t>
      </w:r>
    </w:p>
    <w:p>
      <w:r>
        <w:t>IT: TPF BB.2007.17 del 12 marzo 2007</w:t>
      </w:r>
    </w:p>
    <w:p>
      <w:pPr>
        <w:pStyle w:val="Heading2"/>
      </w:pPr>
      <w:r>
        <w:t>Regeste</w:t>
      </w:r>
    </w:p>
    <w:p>
      <w:r>
        <w:t>Beschwerde gegen Schlussverfügung und Gesuch um aufschiebendeWirkung (Art. 119 und Art. 218 BStP)</w:t>
      </w:r>
    </w:p>
    <w:p>
      <w:pPr>
        <w:pStyle w:val="Heading2"/>
      </w:pPr>
      <w:r>
        <w:t>Erwägungen</w:t>
      </w:r>
    </w:p>
    <w:p>
      <w:r>
        <w:rPr>
          <w:b/>
        </w:rPr>
        <w:t>E. 1.1</w:t>
      </w:r>
    </w:p>
    <w:p>
      <w:r>
        <w:t>Gegen Amtshandlungen und wegen Säumnis des Untersuchungsrichters ist die Beschwerde an die Beschwerdekammer des Bundesstrafgerichts zu-</w:t>
      </w:r>
    </w:p>
    <w:p>
      <w:r>
        <w:t>- 3 -</w:t>
      </w:r>
    </w:p>
    <w:p>
      <w:r>
        <w:t>lässig (Art. 214 Abs. 1 BStP sowie Art. 28 Abs. 1 lit. a SGG). Ist die Be- schwerde gegen eine Amtshandlung des Untersuchungsrichters gerichtet, so ist sie innert fünf Tagen, nachdem der Beschwerdeführer von der Amts- handlung Kenntnis erhalten hat, einzureichen (Art. 217 BStP). Die Be- schwerde steht den Parteien und einem jeden zu, der durch eine Verfü- gung oder durch die Säumnis des Untersuchungsrichters einen ungerecht- fertigten Nachteil erleidet (Art. 214 Abs. 2 BStP).</w:t>
      </w:r>
    </w:p>
    <w:p>
      <w:r>
        <w:rPr>
          <w:b/>
        </w:rPr>
        <w:t>E. 1.2</w:t>
      </w:r>
    </w:p>
    <w:p>
      <w:r>
        <w:t>Die Beschwerde vom 28. Februar 2007 richtet sich gegen die Schlussver- fügung vom 22. Februar 2007. Die Beschwerde wurde fristgerecht einge- reicht. Im Rahmen der Eintretensvoraussetzungen ist weiter zu prüfen, ob der Beschwerdeführer durch die Schlussverfügung vom 22. Februar 2007 beschwert ist. Gemäss Art. 119 Abs. 3 BStP schliesst das Untersuchungs- richteramt die Voruntersuchung und stellt die Akten mit seinem Schlussbe- richt der Bundesanwaltschaft zu. Das Untersuchungsrichteramt nimmt so- mit gemäss dem Wortlaut des Gesetzes zwei Amtshandlungen vor, indem es die Voruntersuchung schliesst und einen Schlussbericht erstellt. Die Voruntersuchung wird mit der Schlussverfügung geschlossen. Weiterge- hende Wirkungen hat die Schlussverfügung nicht. Insofern stellt die Schlussverfügung einen reinen prozessualen Schritt dar, welcher keine ma- teriellen Wirkungen hat. Deshalb ist der Schlussverfügung vom 22. Februar 2007 keine Rechtsmittelbelehrung zu entnehmen, weil sie – wie übrigens auch die Eröffnungsverfügung oder die allfällige Anklageerhebung (Art. 127 Abs. 2 BStP) - kein Anfechtungsobjekt darstellt. Es ist kein Grund ersicht- lich, die Schlussverfügung betreffend die Anfechtbarkeit anders zu behan- deln als die Eröffnungsverfügung oder die Anklageerhebung. Der Be- schwerdeführer ist deshalb durch die angefochtene Schlussverfügung vom 22. Februar 2007 nicht beschwert.</w:t>
      </w:r>
    </w:p>
    <w:p>
      <w:r>
        <w:rPr>
          <w:b/>
        </w:rPr>
        <w:t>E. 1.3</w:t>
      </w:r>
    </w:p>
    <w:p>
      <w:r>
        <w:t>Soweit der Beschwerdeführer die Aufhebung der Schlussverfügung vom 22. Februar 2007 mit der Argumentation verlangt, der Schlussbericht ent- halte geheime Berichte der Fachgruppe B., so rügt er im Übrigen eine Ver- letzung des rechtlichen Gehörs im Zusammenhang mit dem Schlussbe- richt. Insofern hätte sich gestützt auf die Vorbringen des Beschwerdefüh- rers eher die Frage gestellt, ob er durch den Schlussbericht beschwert ist.</w:t>
      </w:r>
    </w:p>
    <w:p>
      <w:r>
        <w:t>Soweit der Beschwerdeführer ein Akteneinsichtsrecht bezüglich der Berich- te der Fachgruppe B. geltend macht, ist darauf hinzuweisen, dass nunmehr die Verfahrensherrschaft bei der Bundesanwaltschaft liegt. Ein allfälliges Akteneinsichtsgesuch wäre somit direkt bei der Bundesanwaltschaft zu stellen. Für den Fall der Anklageerhebung hat der Beschwerdeführer ge- stützt auf Art. 137 Abs. 3 BStP zudem die Möglichkeit, die Akten im Rah-</w:t>
      </w:r>
    </w:p>
    <w:p>
      <w:r>
        <w:t>- 4 -</w:t>
      </w:r>
    </w:p>
    <w:p>
      <w:r>
        <w:t>men des Verfahrens vor dem Bundesstrafgericht einzusehen. Selbst wenn man im Vorgehen des Untersuchungsrichters eine Verletzung des rechtli- chen Gehörs des Beschwerdeführers sähe, so wäre eine Heilung im weite- ren Verlaufe des Verfahrens ohne Weiteres möglich. Der Beschwerdefüh- rer hätte damit keinen nicht wieder gutzumachenden Nachteil erlitten.</w:t>
      </w:r>
    </w:p>
    <w:p>
      <w:r>
        <w:rPr>
          <w:b/>
        </w:rPr>
        <w:t>E. 1.4</w:t>
      </w:r>
    </w:p>
    <w:p>
      <w:r>
        <w:t>Zusammenfassend steht somit fest, dass die Schlussverfügung vom 22. Februar 2007 nicht anfechtbar ist. Die Beschwerde erweist sich damit sofort als unzulässig und es ist darauf in Anwendung von Art. 219 Abs. 1 BStP nicht einzutreten.</w:t>
      </w:r>
    </w:p>
    <w:p>
      <w:r>
        <w:rPr>
          <w:b/>
        </w:rPr>
        <w:t>E. 3.1</w:t>
      </w:r>
    </w:p>
    <w:p>
      <w:r>
        <w:t>Bei diesem Ausgang des Verfahrens hat grundsätzlich der Beschwerdefüh- rer die Kosten zu tragen (Art. 66 Abs. 1 BGG). Das Vorgehen von Bundes- anwaltschaft und Untersuchungsrichteramt bezüglich der Aktenergänzung durch die Berichte der Fachgruppe B. ist jedoch in einem solchen Masse als ungewöhnlich einzustufen, dass ausnahmsweise auf die Erhebung von Verfahrenskosten verzichtet werden kann (Art. 66 Abs. 1 BGG).</w:t>
      </w:r>
    </w:p>
    <w:p>
      <w:r>
        <w:rPr>
          <w:b/>
        </w:rPr>
        <w:t>E. 3.2</w:t>
      </w:r>
    </w:p>
    <w:p>
      <w:r>
        <w:t>Zufolge Unterliegens wird dem Beschwerdeführer keine Parteientschädi- gung ausgerichtet.</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