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BB.2007.16 vom 18. April 2007</w:t>
      </w:r>
    </w:p>
    <w:p>
      <w:r>
        <w:t>Bundesstrafgericht, 2007-04-18, DE</w:t>
      </w:r>
    </w:p>
    <w:p>
      <w:r>
        <w:rPr>
          <w:b/>
        </w:rPr>
        <w:t xml:space="preserve">Quelle: </w:t>
      </w:r>
      <w:r>
        <w:t>https://mcp.opencaselaw.ch/entscheid/bstger_BB.2007.16</w:t>
      </w:r>
    </w:p>
    <w:p>
      <w:r>
        <w:t>FR: TPF BB.2007.16 du 18 avril 2007</w:t>
      </w:r>
    </w:p>
    <w:p>
      <w:r>
        <w:t>IT: TPF BB.2007.16 del 18 aprile 2007</w:t>
      </w:r>
    </w:p>
    <w:p>
      <w:pPr>
        <w:pStyle w:val="Heading2"/>
      </w:pPr>
      <w:r>
        <w:t>Regeste</w:t>
      </w:r>
    </w:p>
    <w:p>
      <w:r>
        <w:t>Beschwerde gegen Nichtaufhebung einer Beschlagnahme (Art. 65 BStP)</w:t>
      </w:r>
    </w:p>
    <w:p>
      <w:pPr>
        <w:pStyle w:val="Heading2"/>
      </w:pPr>
      <w:r>
        <w:t>Erwägungen</w:t>
      </w:r>
    </w:p>
    <w:p>
      <w:r>
        <w:rPr>
          <w:b/>
        </w:rPr>
        <w:t>E. 19</w:t>
      </w:r>
    </w:p>
    <w:p>
      <w:r>
        <w:t>Januar 2007 E. 2.2).</w:t>
      </w:r>
    </w:p>
    <w:p>
      <w:r>
        <w:t>3.</w:t>
      </w:r>
    </w:p>
    <w:p>
      <w:r>
        <w:t>3.1 Die Beschlagnahme gemäss Art. 65 BStP ist eine provisorische (konserva- torische) prozessuale Massnahme zur vorläufigen Sicherung der Beweis- mittel bzw. der allenfalls der Einziehung unterliegenden Gegenstände und Vermögenswerte. Voraussetzung für die Beschlagnahme ist ein hinrei-</w:t>
      </w:r>
    </w:p>
    <w:p>
      <w:r>
        <w:t>- 7 -</w:t>
      </w:r>
    </w:p>
    <w:p>
      <w:r>
        <w:t>chender, objektiv begründeter Tatverdacht gegenüber dem Betroffenen. Gemäss ständiger Rechtsprechung der Beschwerdekammer setzt der hin- reichende – in Abgrenzung zum dringenden – Tatverdacht gerade nicht voraus, dass Beweise oder Indizien bereits für eine erhebliche oder hohe Wahrscheinlichkeit einer Verurteilung sprechen. Der hinreichende Tatver- dacht unterscheidet sich damit vom dringenden vor allem durch ein gradu- elles Element hinsichtlich der Beweislage, wobei der Strafverfolgungsbe- hörde auch in der Sachverhaltsdarstellung ein geringerer Konkretisierungs- grad zugebilligt werden muss. Das ändert freilich nichts daran, dass sich auch ein derartiger Verdacht im Verlaufe der weiteren Ermittlungen weiter verdichten muss (vgl. zum Ganzen TPF BE.2004.10 vom 22. April 2005 E. 3.1). Im Übrigen muss die Beschlagnahme wie jedes Zwangsmittel ver- hältnismässig sein.</w:t>
      </w:r>
    </w:p>
    <w:p>
      <w:r>
        <w:t>3.2 Die Beschwerdeführerin macht zu Recht nicht geltend, dass die gesetzli- chen Voraussetzungen der Beschlagnahme weggefallen seien. Sie bestrei- tet den hinreichenden Tatverdacht gegen B. nicht. Sie macht lediglich gel- tend, dass B. diesen bestreite. Diesbezüglich ist anzumerken, dass der Tat- verdacht bereits im Zeitpunkt der Beschlagnahme vom 31. August 2004 hinreichend bestand. Dieser Tatverdacht hat sich laut den überzeugenden und durch die Akten gestützten Ausführungen des Untersuchungsrichter- amtes in seiner Verfügung vom 26. Februar 2007 sowie der Bundesanwalt- schaft in ihrer Stellungnahme von 19. März 2007 weiter verdichtet. Laut Bundesanwaltschaft stehe ausser Zweifel, dass nach Abschluss der Vorun- tersuchung Anklage erhoben werde. Insbesondere da die Beschwerdefüh- rerin diese Erwägungen nicht bestritt und auch nicht geltend macht, die Umstände hätten sich seit der Beschlagnahmeverfügung vom 31. August 2004 wesentlich verändert, kann auf weitere Ausführungen zum vorliegen des hinreichenden Tatverdachts verzichtet werden.</w:t>
      </w:r>
    </w:p>
    <w:p>
      <w:r>
        <w:t>3.3 An dieser Stelle sei erwähnt, dass die Voruntersuchung aufgrund der Kom- plexität des Verfahrens viel Zeit in Anspruch genommen hat. Insbesondere um dem Beschleunigungsgebot gemäss Art. 6 Ziff. 1 EMRK Rechnung zu tragen, drängt sich aber nunmehr die Weiterführung des Verfahrens auf. Für die Bundesanwaltschaft steht ausser Zweifel, dass Anklage erhoben werde. Aufgrund dieser Einschätzung erscheint es angebracht, die Vorun- tersuchung mit der nötigen Beschleunigung zum Abschluss zu bringen.</w:t>
      </w:r>
    </w:p>
    <w:p>
      <w:r>
        <w:t>3.4 Im Übrigen ist der Antrag auf Freigabe der beschlagnahmten Vermögens- werte ebenfalls abzuweisen, da nach unbestrittener Einschätzung der Vor- instanz im Falle einer Verurteilung von B. die bei ihm in der Schweiz be- schlagnahmten Vermögenswerte ca. 5,8 Mio Fr. bei Weitem nicht ausrei-</w:t>
      </w:r>
    </w:p>
    <w:p>
      <w:r>
        <w:t>- 8 -</w:t>
      </w:r>
    </w:p>
    <w:p>
      <w:r>
        <w:t>chen, um den mutmasslichen Einziehungsanspruch bzw. die Ersatzforde- rung des Staates gemäss Art. 71 Abs. 1 StGB sicherzustellen. Das Unter- suchungsrichteramt geht nämlich davon aus, dass B. in den Jahren 1995 bis 2001 für die Durchfuhr von Schmuggelzigaretten durch Montenegro Gebühren von rund 194 Mio USD abrechnete, wovon er zugegebenermas- sen rund 4 Mio USD ins Ausland brachte. Infolgedessen ist zur Durchset- zung der Ersatzforderung des Staates die Beschlagnahme des Sparkontos Nr. D. bei der Bank C. weiterhin aufrechtzuerhalten (Art. 71 Abs. 3 StGB).</w:t>
      </w:r>
    </w:p>
    <w:p>
      <w:r>
        <w:t>3.5 Die Beschlagnahme des bei der Bank C. geführten Sparkontos Nr. D. ist für die Erreichung des Untersuchungszwecks - nämlich die Sicherstellung der allenfalls der Einziehung unterliegenden Vermögenswerte – sowohl geeig- net als auch erforderlich. Zudem verdrängt das öffentliche Interesse an der Strafverfolgung bzw. – justiz an einer lückenlosen Beweisführung ange- sichts der Schwere der erhobenen Vorwürfe das private Interesse der Be- schwerdeführerin an einer Herausgabe der beschlagnahmten Vermögens- werte. Die Beschlagnahme ist auch verhältnismässig, da die Beschwerde- führerin in keiner Weise dargelegt hat, inwiefern die Aufrechterhaltung der Beschlagnahme für sie eine untragbare finanzielle Härte bedeuten würde.</w:t>
      </w:r>
    </w:p>
    <w:p>
      <w:r>
        <w:t>4. Insgesamt erweist sich die Beschlagnahme des bei der Bank C. geführten Sparkontos Nr. D. nach wie vor als gerechtfertigt. Die Beschwerde ist daher abzuweisen.</w:t>
      </w:r>
    </w:p>
    <w:p>
      <w:r>
        <w:t>5. Bei diesem Ausgang des Verfahrens hat die Beschwerdeführerin die Kos- ten zu tragen (Art. 66 Abs. 1 BGG), wobei die Gerichtsgebühr auf Fr. 1'500.-- festgesetzt wird (Art. 3 des Reglements über die Gerichtsge- bühren vor dem Bundesstrafgericht vom 11. Februar 2004; SR 173.711.32).</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