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BB.2006.60 vom 1. Dezember 2006</w:t>
      </w:r>
    </w:p>
    <w:p>
      <w:r>
        <w:t>Bundesstrafgericht, 2006-12-01, DE</w:t>
      </w:r>
    </w:p>
    <w:p>
      <w:r>
        <w:rPr>
          <w:b/>
        </w:rPr>
        <w:t xml:space="preserve">Quelle: </w:t>
      </w:r>
      <w:r>
        <w:t>https://mcp.opencaselaw.ch/entscheid/bstger_BB.2006.60</w:t>
      </w:r>
    </w:p>
    <w:p>
      <w:r>
        <w:t>FR: TPF BB.2006.60 du 1 décembre 2006</w:t>
      </w:r>
    </w:p>
    <w:p>
      <w:r>
        <w:t>IT: TPF BB.2006.60 del 1 dicembre 2006</w:t>
      </w:r>
    </w:p>
    <w:p>
      <w:pPr>
        <w:pStyle w:val="Heading2"/>
      </w:pPr>
      <w:r>
        <w:t>Regeste</w:t>
      </w:r>
    </w:p>
    <w:p>
      <w:r>
        <w:t>Beschwerde gegen Ausstandsentscheid (Art. 99 Abs. 3 BStP)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Zuständigkeit der Beschwerdekammer des Bundesstrafgerichts zum Entscheid in Verfahren betreffend streitige Ausstandsbegehren gegen eid- genössische Untersuchungsrichter ergibt sich aus Art. 28 Abs. 1 lit. c SGG i.V.m. Art. 99 Abs. 3 Satz 2 BStP. Die Beschwerde ist innert fünf Tagen, nachdem der Beschwerdeführer von der Verfügung Kenntnis erhalten hat, einzureichen (Art. 99 Abs. 3 i.V.m. Art. 217 BStP).</w:t>
      </w:r>
    </w:p>
    <w:p>
      <w:r>
        <w:t>- 3 -</w:t>
      </w:r>
    </w:p>
    <w:p>
      <w:r>
        <w:rPr>
          <w:b/>
        </w:rPr>
        <w:t>E. 1.2</w:t>
      </w:r>
    </w:p>
    <w:p>
      <w:r>
        <w:t>Die Verfügung vom 1. September 2006 wurde dem Beschwerdeführer am</w:t>
      </w:r>
    </w:p>
    <w:p>
      <w:r>
        <w:rPr>
          <w:b/>
        </w:rPr>
        <w:t>E. 4</w:t>
      </w:r>
    </w:p>
    <w:p>
      <w:r>
        <w:t>September 2006 eröffnet. Mit Postaufgabe der Beschwerde am 8. Sep- tember 2006 wurde die fünftägige Beschwerdefrist demnach eingehalten. Die übrigen Eintretensvoraussetzungen sind ebenfalls erfüllt und geben keinen Anlass zu weiteren Bemerkungen, weshalb auf die Beschwerde einzutreten ist.</w:t>
      </w:r>
    </w:p>
    <w:p>
      <w:r>
        <w:t>2.</w:t>
      </w:r>
    </w:p>
    <w:p>
      <w:r>
        <w:t>2.1 Art. 30 Abs. 1 BV und Art. 6 Ziff. 1 EMRK sind bei der Ablehnung eines Un- tersuchungsrichters nur anwendbar, wenn dieser ausnahmsweise in rich- terlicher Funktion tätig wird. Nimmt der Untersuchungsrichter, wie vorlie- gend, eine Funktion als Strafuntersuchungsbehörde wahr, ist die Aus- standspflicht ausschliesslich aufgrund von Art. 29 Abs. 1 BV zu beurteilen. Hinsichtlich der Unparteilichkeit des Untersuchungsrichters im Sinne von Unabhängigkeit und Unbefangenheit kommt Art. 29 Abs. 1 BV jedoch ein mit Art. 30 Abs. 1 BV weitgehend übereinstimmender Gehalt zu. So kann ein Untersuchungsrichter abgelehnt werden, wenn Umstände vorliegen, welche nach objektiven Gesichtspunkten geeignet sind, den Anschein der Befangenheit zu erwecken (zum Ganzen BGE 127 I 196, 198 E. 2a m.w.H.).</w:t>
      </w:r>
    </w:p>
    <w:p>
      <w:r>
        <w:t>Im Bundesstrafprozessrecht gelten für die Ausschliessung und Ablehnung der eidgenössischen Untersuchungsrichter die Art. 22 Abs. 1, 23 – 25 und 26 Abs. 2 OG (Art. 99 Abs. 3 Satz 1 BStP). Gemäss Art. 23 lit. c OG kann ein Richter von den Parteien abgelehnt werden oder selbst seinen Aus- stand verlangen, wenn Tatsachen vorliegen, die ihn in Bezug auf den zu beurteilenden Fall als befangen erscheinen lassen.</w:t>
      </w:r>
    </w:p>
    <w:p>
      <w:r>
        <w:t>2.2 Nach der Rechtsprechung ist eine Befangenheit des Richters etwa gege- ben, wenn dieser die gebotene Sachlichkeit und Distanz zur Sache vermis- sen lässt, sodass der Beschuldigte objektiv zu Recht an einer gerechten Behandlung zweifeln kann (BGE 127 I 196, 201 E. 2d). Kein Ausstands- grund liegt jedoch vor, wenn der Richter eine für die Partei ungünstige Ver- fügung erlässt, in rechtlicher Hinsicht eine dieser nicht genehme Ansicht vertritt oder falsche bzw. willkürliche Verfahrensmassnahmen anordnet. Die Korrektur willkürlicher Prozesshandlungen muss auf dem Wege der ordent- lichen Rechtsmittel erfolgen (HAUSER/SCHWERI/HARTMANN, Schweizeri- sches Strafprozessrecht, 6. Aufl., Basel 2005, S. 112 N. 4a und S. 115 N. 6).</w:t>
      </w:r>
    </w:p>
    <w:p>
      <w:r>
        <w:t>- 4 -</w:t>
      </w:r>
    </w:p>
    <w:p>
      <w:r>
        <w:t>2.3 Der Beschwerdeführer macht geltend, der Beschwerdegegner hätte ihn an- lässlich einer Einvernahme vom 26. Juni 2006 wissen lassen, dass er auf- grund seiner Aussageverweigerung einer Kollusionsgefahr unterliege und ausserdem mit der Anordnung einer Untersuchungshaft gedroht. Der Be- schwerdeführer bringt vor, der Beschwerdegegner hätte eine Kollusionsge- fahr wider die tatsächlichen Verhältnisse behauptet. Er sieht im Verhalten des Beschwerdegegners eine Androhung einer unzulässigen Beugehaft, welche seines Erachtens einen Ausstandsgrund gemäss Art. 23 lit. c OG darstellt.</w:t>
      </w:r>
    </w:p>
    <w:p>
      <w:r>
        <w:t>2.4 Vorliegend konnte, entgegen den Behauptungen des Beschwerdeführers, eine Kollusionsgefahr mit dem zur Frage stehenden Mitangeschuldigten nicht offensichtlich ausgeschlossen werden. Die Tatsache, dass die Ange- schuldigten seit Einleitung des Strafverfahrens bereits Gelegenheit hatten sich abzusprechen, schliesst eine Kollusionsgefahr nicht zwingend oder gar a priori aus (dazu TPF BH.2005.29 vom 3. Oktober 2005 E. 3.2). Die Be- hauptung, der Beschwerdegegner hätte die Möglichkeit der Anordnung ei- ner Untersuchungshaft nur angedeutet, weil der Beschwerdeführer von seinem Aussageverweigerungsrecht Gebrauch machte, hält demnach einer Überprüfung nicht stand.</w:t>
      </w:r>
    </w:p>
    <w:p>
      <w:r>
        <w:t>Im Übrigen macht der Beschwerdeführer zwar geltend, der Beschwerde- gegner hätte mittels einer unzulässigen Zwangsmassnahme Druck auf ihn ausgeübt, begründet jedoch nicht, inwiefern dieser die gebotene Sachlich- keit und Distanz zur Sache vermissen liess und dadurch befangen im Sinne von Art. 23 lit. c OG sein soll. Gemäss der vorzitierten Rechtsprechung stellt der Umstand, dass der Untersuchungsrichter falsche Verfahrens- massnahmen anordnet noch keinen Ausstandsgrund dar. Dem anwaltlich vertretenen Beschwerdeführer steht es diesfalls offen, die ihm vom Gesetz zur Verfügung gestellten Rechtsmittel zu ergreifen.</w:t>
      </w:r>
    </w:p>
    <w:p>
      <w:r>
        <w:t>2.5 Zusammenfassend kann festgehalten werden, dass vorliegend nicht er- sichtlich ist, welche Umstände den Beschwerdegegner in Bezug auf den zu untersuchenden Fall befangen oder voreingenommen im Sinne von Art. 23 lit. c OG erscheinen lassen könnten. Die Beschwerde ist demnach abzu- weisen.</w:t>
      </w:r>
    </w:p>
    <w:p>
      <w:r>
        <w:t>3. Das Gesuch um unentgeltliche Rechtspflege des Beschwerdeführers wur- de von der Beschwerdekammer mit Entscheid vom 23. Oktober 2006 ab- gewiesen (act. 8). Bei diesem Ausgang des Verfahrens hat der Beschwer- deführer demnach die Gerichtskosten zu tragen (Art. 245 BStP i.V.m.</w:t>
      </w:r>
    </w:p>
    <w:p>
      <w:r>
        <w:t>- 5 -</w:t>
      </w:r>
    </w:p>
    <w:p>
      <w:r>
        <w:t>Art. 156 Abs. 1 OG). Die Gerichtsgebühr wird auf Fr. 1’500.-- festgesetzt (Art. 3 des Reglements vom 11. Februar 2004 über die Gerichtsgebühren vor dem Bundesstrafgericht; SR 173.711.32) und ist dem Beschwerdefüh- rer, unter Anrechnung des geleisteten Kostenvorschusses von Fr. 1’000.--, aufzuerlegen. Es werden keine Parteientschädigungen ausgerichtet (Art. 159 Abs. 1 und 2 OG).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