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BB.2006.6 vom 6. April 2006</w:t>
      </w:r>
    </w:p>
    <w:p>
      <w:r>
        <w:t>Bundesstrafgericht, 2006-04-06, DE</w:t>
      </w:r>
    </w:p>
    <w:p>
      <w:r>
        <w:rPr>
          <w:b/>
        </w:rPr>
        <w:t xml:space="preserve">Quelle: </w:t>
      </w:r>
      <w:r>
        <w:t>https://mcp.opencaselaw.ch/entscheid/bstger_BB.2006.6</w:t>
      </w:r>
    </w:p>
    <w:p>
      <w:r>
        <w:t>FR: TPF BB.2006.6 du 6 avril 2006</w:t>
      </w:r>
    </w:p>
    <w:p>
      <w:r>
        <w:t>IT: TPF BB.2006.6 del 6 aprile 2006</w:t>
      </w:r>
    </w:p>
    <w:p>
      <w:pPr>
        <w:pStyle w:val="Heading2"/>
      </w:pPr>
      <w:r>
        <w:t>Regeste</w:t>
      </w:r>
    </w:p>
    <w:p>
      <w:r>
        <w:t>Beschwerde gegen Freigabe beschlagnahmter Vermögenswerte</w:t>
      </w:r>
    </w:p>
    <w:p>
      <w:pPr>
        <w:pStyle w:val="Heading2"/>
      </w:pPr>
      <w:r>
        <w:t>Erwägungen</w:t>
      </w:r>
    </w:p>
    <w:p>
      <w:r>
        <w:rPr>
          <w:b/>
        </w:rPr>
        <w:t>E. 1</w:t>
      </w:r>
    </w:p>
    <w:p>
      <w:r>
        <w:t>Die Beschwerde ist gegen Amtshandlungen und wegen Säumnis des Un- tersuchungsrichters zulässig (Art. 214 Abs. 1 BStP). Die Beschwerde steht den Parteien und einem jeden zu, der durch eine Verfügung oder durch die Säumnis des Untersuchungsrichters einen ungerechtfertigten Nachteil er- leidet (Art. 214 Abs. 2 BStP).</w:t>
      </w:r>
    </w:p>
    <w:p>
      <w:r>
        <w:t>Unabhängig von der Parteistellung im Verfahren ist erforderlich, dass der Betroffene durch die Amtshandlung oder Säumnis beschwert ist und ein rechtlich geschütztes Interesse an deren Aufhebung oder Abänderung bzw. Beseitigung hat. Das Rechtsschutzinteresse besteht im praktischen Nut- zen, den der Beschwerdeführer beim Schutz seiner Beschwerde erzielen könnte (vgl. OBERHOLZER, Grundzüge des Strafprozessrechts, 2. Aufl., Bern 2005, N. 1603). Die Bundesanwaltschaft ist im Bundesstrafverfahren Partei (Art. 34 BStP) und daher als solche ab Eröffnung der Voruntersu- chung grundsätzlich zur Beschwerde legitimiert. Die generelle Beschwer der Bundesanwaltschaft ergibt sich aus deren funktioneller Stellung, indem ihr die Durchsetzung der materiellen Wahrheit und die Verwirklichung des Rechts obliegt (vgl. Entscheid des Bundesstrafgerichts BK_B 016/04 vom 27. Mai 2004 E. 2.1).</w:t>
      </w:r>
    </w:p>
    <w:p>
      <w:r>
        <w:t>Bei Aufhebung einer Beschlagnahme durch das Untersuchungsrichteramt ist die Beschwerdeführerin somit im Sinne der zitierten Bestimmung be- schwert. Die angefochtene Verfügung wurde der Beschwerdeführerin am 30. Januar 2006 zugestellt, womit sich die Beschwerde als rechtzeitig er- weist. Die Eintretensvoraussetzungen sind demnach erfüllt.</w:t>
      </w:r>
    </w:p>
    <w:p>
      <w:r>
        <w:t>- 4 -</w:t>
      </w:r>
    </w:p>
    <w:p>
      <w:r>
        <w:rPr>
          <w:b/>
        </w:rPr>
        <w:t>E. 2</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 vgl. auch Urteil des Bundesgerichts 1S.16/2005 vom 7. Juni 2005 E. 5.2 sowie HAUSER/SCHWERI/HARTMANN, Schweizerisches Strafprozessrecht,</w:t>
      </w:r>
    </w:p>
    <w:p>
      <w:r>
        <w:rPr>
          <w:b/>
        </w:rPr>
        <w:t>E. 6</w:t>
      </w:r>
    </w:p>
    <w:p>
      <w:r>
        <w:t>Nach dem Gesagten erweist sich die Beschwerde als begründet. Die ange- fochtene Verfügung ist somit aufzuheben und die Vorinstanz anzuweisen, das fragliche Konto des Beschwerdegegners unter Beschlag zu belassen.</w:t>
      </w:r>
    </w:p>
    <w:p>
      <w:r>
        <w:rPr>
          <w:b/>
        </w:rPr>
        <w:t>E. 7</w:t>
      </w:r>
    </w:p>
    <w:p>
      <w:r>
        <w:t>Bei diesem Ausgang des Verfahrens wird der Beschwerdegegner kosten- pflichtig (Art. 245 BStP i.V.m. Art. 156 Abs. 1 OG). Die Gerichtsgebühr ist auf Fr. 1'500.-- festzusetzen (Art. 3 des Reglements vom 11. Februar 2004 über die Gerichtsgebühren vor dem Bundesstrafgericht; SR 173.711.32).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